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 w:val="0"/>
        </w:rPr>
      </w:pPr>
      <w:bookmarkStart w:id="0" w:name="公文标题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55" w:leftChars="-26" w:right="23" w:rightChars="11"/>
        <w:jc w:val="distribute"/>
        <w:textAlignment w:val="center"/>
        <w:rPr>
          <w:rFonts w:hint="default" w:ascii="Times New Roman" w:hAnsi="Times New Roman" w:cs="Times New Roman"/>
          <w:b w:val="0"/>
          <w:bCs/>
          <w:color w:val="FF0000"/>
          <w:spacing w:val="-12"/>
          <w:w w:val="75"/>
          <w:sz w:val="150"/>
          <w:szCs w:val="150"/>
        </w:rPr>
      </w:pPr>
      <w:r>
        <w:rPr>
          <w:rFonts w:hint="default" w:ascii="Times New Roman" w:hAnsi="Times New Roman" w:eastAsia="方正大标宋简体" w:cs="Times New Roman"/>
          <w:b w:val="0"/>
          <w:bCs/>
          <w:color w:val="FF0000"/>
          <w:spacing w:val="-11"/>
          <w:w w:val="60"/>
          <w:sz w:val="150"/>
          <w:szCs w:val="150"/>
        </w:rPr>
        <w:t>济宁市农业农村局文件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center"/>
        <w:textAlignment w:val="center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 w:leftChars="0" w:firstLine="2891" w:firstLineChars="900"/>
        <w:jc w:val="left"/>
        <w:textAlignment w:val="center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济农字〔202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 w:leftChars="0" w:firstLine="2530" w:firstLineChars="900"/>
        <w:jc w:val="left"/>
        <w:textAlignment w:val="center"/>
        <w:rPr>
          <w:rFonts w:hint="default" w:ascii="Times New Roman" w:hAnsi="Times New Roman" w:eastAsia="仿宋_GB2312" w:cs="Times New Roman"/>
          <w:b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35560</wp:posOffset>
                </wp:positionV>
                <wp:extent cx="5615940" cy="0"/>
                <wp:effectExtent l="0" t="9525" r="381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05pt;margin-top:2.8pt;height:0pt;width:442.2pt;z-index:251659264;mso-width-relative:page;mso-height-relative:page;" filled="f" stroked="t" coordsize="21600,21600" o:gfxdata="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Kg/6LVAAAABgEAAA8AAAAAAAAAAQAgAAAAIgAAAGRycy9kb3ducmV2LnhtbFBLAQIUABQA&#10;AAAIAIdO4kBfehD58wEAAOcDAAAOAAAAAAAAAAEAIAAAACQ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大标宋简体" w:cs="Times New Roman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关于印发《</w:t>
      </w: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2023年高素质农民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培育工作方案》的通知</w:t>
      </w:r>
      <w:bookmarkEnd w:id="0"/>
      <w:bookmarkStart w:id="1" w:name="发往单位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县（市、区）农业农村局，微山县渔业综合管理委员会，济宁高新区城乡统筹发展局、太白湖新区农业服务中心、济宁市经开区农业服务中心，市农业机械现代化发展促进中心、市畜牧兽医事业发展中心，市农业科学研究院、市农业技术推广中心、市渔业发展和资源养护中心，局属有关科室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为做好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2023年高素质农民培育工作，根据《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农业农村厅关于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2023年高素质农民培育工作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的通知》（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教字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〔2023〕1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号）要求，结合我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农业农村工作实际，研究制定了《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2023年高素质农民培育工作方案》。现予印发，请遵照执行。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县市区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要根据本方案要求，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围绕当地农业农村发展需要和农民培训实际需求，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制定2023年度高素质农民培育实施方案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日前将方案与培训班次计划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农民素质素养提升培训计划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市局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科教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农技推广中心农民教育培训部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市局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科教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超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电话：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2348385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8" w:firstLineChars="60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</w:t>
      </w:r>
      <w: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"mailto:sdkjrh@shandong.cn" </w:instrText>
      </w:r>
      <w: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nyjkjk</w:t>
      </w:r>
      <w:r>
        <w:rPr>
          <w:rStyle w:val="9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@</w:t>
      </w:r>
      <w:r>
        <w:rPr>
          <w:rStyle w:val="9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ji.</w:t>
      </w:r>
      <w:r>
        <w:rPr>
          <w:rStyle w:val="9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shandong.cn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Style w:val="10"/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农技中心教育培训部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戈振周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电话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：2236779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电子邮箱：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jnngx2014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57" w:firstLineChars="1512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202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2023年高素质农民培育工作方案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3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为深入贯彻党的二十大和中央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、省、市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农村工作会议精神，认真落实2023年中央一号文件及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政府农业农村工作决策部署，全力推进现代农业强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建设，扎实做好我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高素质农民培育工作，加快形成与产业需求相适应、与农村发展相协调的高素质农民队伍，强化粮油生产与和美乡村建设人才支撑，全面提升农民素质素养，进一步夯实乡村振兴人才基础，根据《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农业农村厅关于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2023年高素质农民培育工作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的通知》（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教字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〔2023〕1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省农广校《关于做好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2023年度高素质农民培育工作的通知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》（鲁农广校字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〔2023〕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18号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52" w:firstLine="643" w:firstLineChars="200"/>
        <w:textAlignment w:val="auto"/>
        <w:rPr>
          <w:rFonts w:hint="default" w:ascii="Times New Roman" w:hAnsi="Times New Roman" w:cs="Times New Roman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一、总体思路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完整、准确、全面贯彻新发展理念，加快构建新发展格局，着力推动高质量发展，锚定“走在前、开新局”，围绕农业农村现代化建设要求，坚持需求导向、产业主线、分层实施、全程培育，坚持生产技术技能、产业发展能力、农民素质素养协同提升，不断强化乡村人才支撑，为全面推进乡村振兴、加快建设农业强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提供坚实人才基础保障。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52" w:firstLine="643" w:firstLineChars="200"/>
        <w:textAlignment w:val="auto"/>
        <w:rPr>
          <w:rFonts w:hint="default" w:ascii="Times New Roman" w:hAnsi="Times New Roman" w:cs="Times New Roman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2023年，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统筹推进种养加农户生产技术技能、生产经营主体产业发展能力、村民自治组织乡村建设发展服务能力及农民素质素养提升培训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开展高素质农民培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育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553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人，其中：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组织参加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示范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培训（含学历教育创新试点学员）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310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级培训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297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县级培训（含“师傅带徒”创新试点学员）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2946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。其中，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围绕粮油稳产保供任务开设的班次和培育人数不低于80%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，共培训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2846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人（粮油单产提升培训、绿色生产与农产品质量安全培训和农机手培训）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每期培训线下学时不低于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24学时，其中现场教学不低于线下培训总学时数的60%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利用“齐鲁乡村网络学院”开展线上培训不少于6学时，不高于总学时的30%。各县市区要根据培训资金数量科学测算培训人数和学时，确保资金数量、培训人数和学时相匹配。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全市设立农民素质素养提升培训试点村77个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，每村集中培训不低于4学时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对取得职称的高素质农民在学习培训方面予以支持。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52" w:firstLine="643" w:firstLineChars="200"/>
        <w:textAlignment w:val="auto"/>
        <w:rPr>
          <w:rFonts w:hint="default" w:ascii="Times New Roman" w:hAnsi="Times New Roman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（一）提高农业生产技术技能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种植农户及合作社、生产服务组织、农业企业等生产主体的生产人员，紧扣农时，围绕作物生产全过程全周期，实施分区域灵活组织、分品种专题组班、分技术专家授课、分阶段针对培训。聚焦“两稳两扩两提”要求，紧密衔接农业生产技术技能提高确定培训内容，突出良种选购及制种、关键生产技术、病虫害防治、机械化作业、耕地保护建设等内容。用好农民合作社、家庭农场、农业社会化服务组织、农业企业和农村集体经济组织，强化在田间地头实践实训，切实提升农民实操水平。在全力做好粮油生产技术技能培训基础上，因地制宜开展棉果菜茶等经济作物及畜禽水产养殖生产管理培训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注重发挥高素质农民培训对贫困帮扶的重要作用，加强防止返贫监测帮扶对象、农村低收入人员、残疾人和退捕退养农民的实用技术培训与技术指导，提升其就业创业能力。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52"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（二）提升农业产业发展能力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推进农业产业高质量发展为目标，围绕推进农业产业做大做强、扩链延链，围绕农村特色产业发展与三产融合开展人才培育。重点培育家庭农场主、农民合作社带头人、社会化服务专业人员、返乡创业创新人员、农村集体经济组织负责人等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理论教学与案例教学相结合、讨论研究与实地考察相结合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的方式。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层分类重点围绕现代农业产业“三品四化”（品种、品质、品牌，标准化、规模化、特色化、高端化）发展能力培育，开展生产组织、市场运营、智慧农业、仓储保鲜、信贷融资、风险防控、绿色生产、电商营销、外经外贸和农产品“三品一标”等现代农业产业化专业知识培训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（三）增强乡村建设与发展能力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以习近平总书记关于“三农”工作重要论述和农业农村发展形势、国家惠农政策、农村产业发展路径、村庄建设管理、农村事务处置、优良乡风民俗培育、村民科学文化素质提升等为重点，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围绕推进宜居宜业和美乡村建设，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开展乡村治理实用人才与特色产业发展人才培育。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面向村“两委”成员、农村事业发展骨干，大力开展思想政治、三农政策、产业发展、法律法规、村庄建设、环境整治、公共服务、调解仲裁、移风易俗等管理知识培训，提升农村自治组织管理发展水平。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休闲农业、乡村康养、冷链物流、文化创意、智慧农业、电商营销等农村发展新技术、新模式、新业态发展带头人及返乡大中专毕业生、退役军人、农民工和乡村青年、农村妇女、益农信息社信息员等重点人群，大力开展创新创业培训，丰富乡村振兴产业发展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52"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（四）提升农民素质素养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高素质农民培育对象开展农民素质素养培训。培训内容突出习近平新时代中国特色社会主义思想、社会主义核心价值观，涉农法律法规、农业农村政策，农业绿色发展、农产品质量安全、低碳生产生活、农业防灾减灾，金融信贷保险，乡村规划建设、乡风文明、农耕文化等领域基础知识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农业农村部农民科技教育培训中心制定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综合素养课程体系，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县市区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农广校或高素质农民培育主管部门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要严格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审核把关本级综合素养类教材，优先选用农业农村部“十四五”规划教材。注重高素质农民培育和农业农村科普工作协同开展，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加强农业安全生产、现代农业技术知识与优秀传统文化的科普宣传，引导农民安全生产、移风易俗，推动形成安全和谐、勤劳向上、绿色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节俭、孝老爱亲的文明乡风、良好家风、淳朴民风。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三、专项行动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重点任务落实，依托高素质农民教育培训体系，采取集中培训、考察实训、分段培训、咨询服务、跟踪指导等多种形式，分层分类开展专题培训，切实加强高素质农民培育工作的针对性、有效性，着重组织开展好以下专项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（一）粮油单产提升培训行动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华文楷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重点围绕小麦、玉米、大豆、花生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、水稻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等主要粮油作物生产，开展良种、良机、良法、良制培训，推技术、提单产。7月开展大豆玉米带状复合种植技术与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大豆单产提升培训、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玉米单产提升培训专题月活动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围绕大豆品种、农艺、农机加大指导服务和培训，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大豆生产目标任务县（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11县市区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）种植户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全覆盖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玉米高产优质耐密品种、高产增产技术模式应用和技术技能开展培训，推进玉米大面积单产提升。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各县（市、区）培训组织要下沉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村，开设生产技术培训巡回课堂，根据粮油生产关键环节节点，应季节依农时，分段适时开展增产技术模式应用、生产技能培训与现场教学，夯实提单产促丰收技术技能培训基础。（县级组织实施）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（二）专业农机手培训行动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华文楷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以专业农机手、农机大户和农机合作社带头人为培训对象，聚焦小麦、玉米、大豆、花生、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水稻、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棉花等主要粮油作物耕种管收机械化作业环节，围绕高质量机播、大豆玉米带状复合种植全程机械化、水稻机械化育插秧、飞防植保、田间除草、秸秆精细化还田、田管镇压、机收减损等重要机械化技术及安全生产规范，在三夏三秋生产之际，分段分批开展实操实训和作业演练，提高机手技能水平和职业素质，促进农机作业标准化、规范化发展，助力粮油作物单产提升、丰产丰收。9月开展农机手培训专题月活动。（县级组织实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（三）绿色生产与农产品质量安全培训行动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黄河流域生态保护和绿色低碳高质量发展，以高标准农田建设、绿色种养、耕地保护、科学施肥用药、农业减排固碳、智慧农业、节水灌溉等现代生态农业技术为内容，开展专题培训与指导服务，增强农民绿色生态高质量发展意识能力，推进现代农业发展。对蔬菜林果、畜禽水产种植养殖户，开展病虫害绿色防控、疫病防控、科学安全用药、病死畜禽处置、农药残留限量标准要求、承诺达标合格证开具等技术培训，提高农民农产品质量安全责任意识。开展豇豆农药残留突出问题专项攻坚治理培训，种植面积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亩以上县（市、区），基本实现线上线下培训全覆盖。（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级组织实施）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（四）产业发展与乡村发展带头人培训行动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围绕农业企业、家庭农场、农民合作社、专业大户、农业社会化服务组织与乡村文旅、网络电商、文化创意等乡村产业经营主体，分类开展乡村产业发展带头人培训；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围绕村两委成员及村集体经济组织带头人，开展乡村建设、人居环境整治与公共事务服务能力培训；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围绕乡村青年、退役军人、农村妇女及返乡大中专毕业生、农民工，开展乡村创新创业及特色产业发展培训。全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培育各类产业发展带头人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297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人。（市级组织实施）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（五）农民素质素养提升培训行动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行政村为单位，面向小农户、留守村民开展素质素养提升试点培训，培训时长为半天至一天，培训内容为综合素质素养课程，县级农业农村部门确定农民素质素养专题培训班举办试点村，并对培训内容及培训教材进行审核把关，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培训班举办试点村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个，培训人员不列入高素质农民培育人数计划任务，单独汇总填报信息系统。承担试点的行政村设置一名联络员，负责组织培训对象、现场培训等工作，并报县级农业农村部门审核备案，逐步建立县、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、村高素质农民培育组织联系人员网络体系。（县级组织实施）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（六）高素质农民培育创新示范行动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按照省厅安排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，继续开展高素质农民“师傅带徒”、“团队带班”、“等级评价”等3项创新工作试点。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高素质农民“师傅带徒”工作按照省农广校《高素质农民大师“师傅带徒”项目工作指引》规范实施。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，鼓励依托职业院校、农广校探索实施高素质农民培育与职业教育贯通衔接，探索建立农民学分银行，开展农民学历教育创新试点。试点县要认真组织开展创新示范工作，积极研究探索，周密组织部署，做好经验总结，推进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高素质农民培育创新实施和高质量发展。（省、市、县三级共同组织实施）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高素质农民培育作为乡村人才振兴的一项基础性工作，将继续纳入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综合考核内容，各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要高度重视、精心组织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省、市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实施方案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、农业农村部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培训工作规范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和省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绩效管理指标体系（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的要求，切实做好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各项培训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精心组织，提升培育质量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县级班：各县（市、区）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在前期高素质农民培训需求调查的基础上，进一步精准详实摸底，根据农民需求与部省市相关要求，制定县级实施方案，方案既要内容全面又要突出特色，具有可操作性，能够较好完成各项培育任务。县级培训班次计划要列清培训时间、地点、期数、人数和培训内容等。遴选并报送农民素质素养提升培训试点村名单、计划培训人数、培训内容等，建立县、乡、村三级农民素质素养提升培训组织体系，各明确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1名联系人，负责参与组织培训工作。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把培训教材审核关，制作并报送教材审查验收单，明确审查教材名称、参与审查人员，审查结论和照片留存。制定县级开班申请，开班前一周内报市局审核备案。市局将围绕考核重点事项，定期调度培训进度，通报培训情况，发现问题及时调整。县级培训结束一周内将培训人员名单、培训通知、培训手册、签到簿、影像照片、宣传报道等报市局科教科。各县（市、区）要通过电话抽查、实地回访等形式开展培训监测，监测率达到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10%以上，制定并做好抽查回访记录，留存照片。做好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农民教育培训信息管理系统填报，明确专人负责，认真学习农业农村部“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2023年农民教育培训信息管理人员线上培训班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”课程，参照全国农民教育培训信息管理系统操作手册，及时录入信息管理系统，完成评价前严格审核各项数据，上传证明材料。农民素质素养提升培训需下载统一信息签到表模版，留存相关照片。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市级班：制定市级专题培训计划，开设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市级专题培训，遴选市级培训基地，进一步明确培训基地和县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责任务。市局相关科室加强协作，强化市级培训体系，完善专题培训内容与课程，提高培训效果。加大与退役军人事务、共青团、妇联、科协、残联、文化旅游等单位沟通协调，结合实际开展联合培训。各县（市、区）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提早谋划，加快培训进度，市县级培训工作要在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11月底前完成。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市局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将继续在各县自查的基础上，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底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前对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高素质农民培育工作开展绩效评价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培育机构与培训基地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做好省级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培育质量效果评价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各项准备工作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（二）统筹资源，强化体系建设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农广校高素质农民培育主阵地作用，持续提升培训组织能力，强化对高素质农民培育工作的全面支撑。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按照培训资质相关要求，优选市级高素质农民培训基地，明确任务目标和职责分工，加强对培训基地的管理考核，提升培训质量水平，完善教学服务能力。今年市局将继续组织县市区申报高素质农民培训师资、实训基地和农民田间学校，补充并调整完善全市高素质农民培训师资队伍、实训基地和农民田间学校，充分利用市、县级实训基地和农民田间学校开展观摩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（三）规范实施，用好培育资金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高素质农民培育资金主要用于支付需求调查、线上线下培训、实践实训、跟踪监测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、媒体宣传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与培育工作相关的费用，不得列支招投标费用。春耕春管、三夏、防灾减损等应急性培训，优先委托农广校、农技推广机构承办，实行先培训后支付。培育机构须与承担其任务的实训基地明确合作关系，并向实训基地支付场地耗材、实训师资等切实发生的相关费用。农民素质素养提升试点行动的班次，可按规定列支课酬、资料费等与培训直接相关的费用，不得列支食宿费用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加大资金拨付力度，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各县（市、区）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农业农村部转移支付管理平台高素质农民培育项目资金支付率达到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，提供资金拨付和规范使用相关证明。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（四）强化服务，抓好典型示范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组织“五新对接”活动，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制定方案、出台文件，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开展政策宣讲、项目推介、技术指导等农民训后跟踪延伸服务，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为技术技能提升类培育对象提供长期技术指导，协助产业发展带头人获取基础设施建设、产业项目、信贷保险等方面支持。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制定方案、出台文件，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支持高素质农民领办创办产业联合体，搭建农民发展展示平台，举办技能竞赛、专题论坛，开展优秀学员典型选树、精品课程评选和培训模式总结</w:t>
      </w:r>
      <w:r>
        <w:rPr>
          <w:rFonts w:hint="default" w:ascii="Times New Roman" w:hAnsi="Times New Roman" w:eastAsia="Microsoft YaHei UI" w:cs="Times New Roman"/>
          <w:b/>
          <w:bCs w:val="0"/>
          <w:color w:val="000000" w:themeColor="text1"/>
          <w:spacing w:val="7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强化示范引领。充分利用广播、电视、报刊等传统媒体以及新媒体，加大宣传报道，营造良好社会氛围，推动高素质农民长期发展。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1.济宁市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2023年高素质农民培育计划任务分配表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2.济宁市2023年高素质农民县级培训班次计划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3.济宁市2023年农民素质素养提升培训计划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6" w:firstLineChars="5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4.济宁市2023年高素质农民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培训教材审查验收单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6" w:firstLineChars="5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5.济宁市2023年高素质农民县级培训开班申请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6" w:firstLineChars="5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6.济宁市2023年高素质农民培训学员名单</w:t>
      </w:r>
    </w:p>
    <w:p>
      <w:pPr>
        <w:pStyle w:val="11"/>
        <w:ind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7.</w:t>
      </w:r>
      <w:r>
        <w:rPr>
          <w:rFonts w:hint="eastAsia" w:ascii="Times New Roman" w:hAnsi="Times New Roman" w:eastAsia="方正仿宋_GBK" w:cs="Times New Roman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济宁市2023年高素质农民发展跟踪监测记录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154" w:right="1474" w:bottom="2041" w:left="1587" w:header="851" w:footer="158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方正小标宋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2023年高素质农民培育计划任务分配表</w:t>
      </w:r>
    </w:p>
    <w:tbl>
      <w:tblPr>
        <w:tblStyle w:val="6"/>
        <w:tblW w:w="13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80"/>
        <w:gridCol w:w="2138"/>
        <w:gridCol w:w="931"/>
        <w:gridCol w:w="946"/>
        <w:gridCol w:w="1299"/>
        <w:gridCol w:w="920"/>
        <w:gridCol w:w="1202"/>
        <w:gridCol w:w="1278"/>
        <w:gridCol w:w="904"/>
        <w:gridCol w:w="856"/>
        <w:gridCol w:w="1416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高素质农民培训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总人数（人）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其中省级示范培训（人）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县级培训（人）</w:t>
            </w:r>
          </w:p>
        </w:tc>
        <w:tc>
          <w:tcPr>
            <w:tcW w:w="78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    中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农民素质素养提升培训试点村（个）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23" w:hRule="atLeast"/>
        </w:trPr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农业生产技术技能专题培训（县级）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产业发展与乡村发展带头人专题培训（市级）</w:t>
            </w:r>
          </w:p>
        </w:tc>
        <w:tc>
          <w:tcPr>
            <w:tcW w:w="1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83" w:hRule="atLeast"/>
        </w:trPr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粮油单产提升（含绿色生产与农产品质量安全）培训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农机手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棉果菜茶（含绿色生产与农产品质量安全）培训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畜禽水产养殖（含绿色生产与农产品质量安全）培训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产业发展带头人培训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乡村发展带头人培训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乡村创新创业及特色产业发展带头人培训</w:t>
            </w:r>
          </w:p>
        </w:tc>
        <w:tc>
          <w:tcPr>
            <w:tcW w:w="1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任城区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（含太白湖区10人）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兖州区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（含高新区10人）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311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泗水县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邹城市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微山县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鱼台县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金乡县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嘉祥县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（含经开区10人）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汶上县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10人（兖州区代培训）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10人（嘉祥县代培训）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太白湖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10人（任城区代培训）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</w:tr>
    </w:tbl>
    <w:p>
      <w:pPr>
        <w:pStyle w:val="11"/>
        <w:ind w:firstLine="0" w:firstLineChars="0"/>
        <w:rPr>
          <w:rStyle w:val="10"/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31" w:right="1440" w:bottom="1417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11"/>
        <w:ind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济宁市2023年高素质农民县级培训班次计划</w:t>
      </w:r>
    </w:p>
    <w:tbl>
      <w:tblPr>
        <w:tblStyle w:val="7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58"/>
        <w:gridCol w:w="1158"/>
        <w:gridCol w:w="1158"/>
        <w:gridCol w:w="1159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培训期数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培训地点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32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4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4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4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4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7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ind w:firstLine="0" w:firstLineChars="0"/>
        <w:jc w:val="both"/>
        <w:rPr>
          <w:rStyle w:val="10"/>
          <w:rFonts w:hint="default" w:ascii="Times New Roman" w:hAnsi="Times New Roman" w:cs="Times New Roman" w:eastAsiaTheme="minorEastAsia"/>
          <w:b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cs="Times New Roman" w:eastAsiaTheme="minorEastAsia"/>
          <w:b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填报日期：                        填报人：                 手机：</w:t>
      </w: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11"/>
        <w:ind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济宁市2023年农民素质素养提升培训计划</w:t>
      </w:r>
    </w:p>
    <w:tbl>
      <w:tblPr>
        <w:tblStyle w:val="7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991"/>
        <w:gridCol w:w="991"/>
        <w:gridCol w:w="994"/>
        <w:gridCol w:w="2547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试点村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培训课程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三级联系人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4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7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4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7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4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7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4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7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ind w:firstLine="0" w:firstLineChars="0"/>
        <w:jc w:val="both"/>
        <w:rPr>
          <w:rStyle w:val="10"/>
          <w:rFonts w:hint="default" w:ascii="Times New Roman" w:hAnsi="Times New Roman" w:cs="Times New Roman" w:eastAsiaTheme="minorEastAsia"/>
          <w:b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cs="Times New Roman" w:eastAsiaTheme="minorEastAsia"/>
          <w:b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填报日期：                           填报人：                 手机：</w:t>
      </w:r>
    </w:p>
    <w:p>
      <w:pPr>
        <w:rPr>
          <w:rFonts w:hint="default" w:ascii="Times New Roman" w:hAnsi="Times New Roman" w:cs="Times New Roman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b/>
          <w:bCs w:val="0"/>
          <w:lang w:val="en-US" w:eastAsia="zh-CN"/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11"/>
        <w:ind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济宁市2023年高素质农民培训教材审查验收单</w:t>
      </w:r>
    </w:p>
    <w:p>
      <w:pPr>
        <w:pStyle w:val="11"/>
        <w:ind w:firstLine="0" w:firstLineChars="0"/>
        <w:jc w:val="both"/>
        <w:rPr>
          <w:rFonts w:hint="default" w:ascii="Times New Roman" w:hAnsi="Times New Roman" w:eastAsia="黑体" w:cs="Times New Roman"/>
          <w:b/>
          <w:bCs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审查单位：</w:t>
      </w:r>
    </w:p>
    <w:tbl>
      <w:tblPr>
        <w:tblStyle w:val="7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教材名称</w:t>
            </w:r>
          </w:p>
        </w:tc>
        <w:tc>
          <w:tcPr>
            <w:tcW w:w="7390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审查内容</w:t>
            </w:r>
          </w:p>
        </w:tc>
        <w:tc>
          <w:tcPr>
            <w:tcW w:w="7390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审查结论</w:t>
            </w:r>
          </w:p>
        </w:tc>
        <w:tc>
          <w:tcPr>
            <w:tcW w:w="7390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审查现场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  <w:tc>
          <w:tcPr>
            <w:tcW w:w="7390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</w:p>
        </w:tc>
        <w:tc>
          <w:tcPr>
            <w:tcW w:w="7390" w:type="dxa"/>
          </w:tcPr>
          <w:p>
            <w:pPr>
              <w:spacing w:line="580" w:lineRule="exact"/>
              <w:rPr>
                <w:rStyle w:val="10"/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pStyle w:val="11"/>
        <w:ind w:firstLine="0" w:firstLineChars="0"/>
        <w:jc w:val="center"/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济宁市2023年高素质农民县级培训开班申请</w:t>
      </w: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文字描述：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本期培训主办机构、培训时间、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专题内容、培训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人数和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培训形式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，培训资金支出使用等情况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二、培训计划表：</w:t>
      </w:r>
    </w:p>
    <w:p>
      <w:pPr>
        <w:jc w:val="center"/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年**县市区**期高素质农民培训计划表</w:t>
      </w:r>
    </w:p>
    <w:tbl>
      <w:tblPr>
        <w:tblStyle w:val="7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96"/>
        <w:gridCol w:w="1495"/>
        <w:gridCol w:w="1495"/>
        <w:gridCol w:w="1495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例如：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5月20日</w:t>
            </w:r>
          </w:p>
        </w:tc>
        <w:tc>
          <w:tcPr>
            <w:tcW w:w="14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8:00-10:00</w:t>
            </w: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集中培训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kern w:val="0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/现场教学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三、资金预算：</w:t>
      </w:r>
    </w:p>
    <w:p>
      <w:pPr>
        <w:jc w:val="center"/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年**县市区**期高素质农民培训资金预算表</w:t>
      </w:r>
    </w:p>
    <w:tbl>
      <w:tblPr>
        <w:tblStyle w:val="7"/>
        <w:tblW w:w="8775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077"/>
        <w:gridCol w:w="1076"/>
        <w:gridCol w:w="1077"/>
        <w:gridCol w:w="1077"/>
        <w:gridCol w:w="1076"/>
        <w:gridCol w:w="107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餐费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住宿费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场地费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讲课费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观摩费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租车费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资料费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35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right"/>
        <w:rPr>
          <w:rFonts w:hint="default" w:ascii="Times New Roman" w:hAnsi="Times New Roman" w:eastAsia="黑体" w:cs="Times New Roman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单位盖章</w:t>
      </w:r>
    </w:p>
    <w:p>
      <w:pP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间</w:t>
      </w: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2154" w:right="1474" w:bottom="2041" w:left="1587" w:header="851" w:footer="158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80" w:lineRule="exact"/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pStyle w:val="11"/>
        <w:ind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济宁市2023年高素质农民培训学员名单</w:t>
      </w:r>
    </w:p>
    <w:tbl>
      <w:tblPr>
        <w:tblStyle w:val="7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86"/>
        <w:gridCol w:w="1483"/>
        <w:gridCol w:w="937"/>
        <w:gridCol w:w="683"/>
        <w:gridCol w:w="873"/>
        <w:gridCol w:w="873"/>
        <w:gridCol w:w="2081"/>
        <w:gridCol w:w="931"/>
        <w:gridCol w:w="931"/>
        <w:gridCol w:w="1093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1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48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937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081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931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31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</w:tc>
        <w:tc>
          <w:tcPr>
            <w:tcW w:w="109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pStyle w:val="11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是否获得农民职称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10"/>
                <w:rFonts w:hint="default" w:ascii="Times New Roman" w:hAnsi="Times New Roman" w:eastAsia="方正小标宋简体" w:cs="Times New Roman"/>
                <w:b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eastAsia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pStyle w:val="11"/>
        <w:ind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济宁市2023年高素质农民发展跟踪监测记录</w:t>
      </w:r>
    </w:p>
    <w:tbl>
      <w:tblPr>
        <w:tblStyle w:val="7"/>
        <w:tblpPr w:leftFromText="180" w:rightFromText="180" w:vertAnchor="text" w:horzAnchor="page" w:tblpX="2149" w:tblpY="435"/>
        <w:tblOverlap w:val="never"/>
        <w:tblW w:w="12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16"/>
        <w:gridCol w:w="1053"/>
        <w:gridCol w:w="787"/>
        <w:gridCol w:w="732"/>
        <w:gridCol w:w="951"/>
        <w:gridCol w:w="951"/>
        <w:gridCol w:w="955"/>
        <w:gridCol w:w="951"/>
        <w:gridCol w:w="951"/>
        <w:gridCol w:w="951"/>
        <w:gridCol w:w="951"/>
        <w:gridCol w:w="951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45" w:type="dxa"/>
            <w:gridSpan w:val="7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学员基本信息</w:t>
            </w:r>
          </w:p>
        </w:tc>
        <w:tc>
          <w:tcPr>
            <w:tcW w:w="5714" w:type="dxa"/>
            <w:gridSpan w:val="6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学员培训及发展监测记录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59" w:type="dxa"/>
            <w:vMerge w:val="continue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3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787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</w:tc>
        <w:tc>
          <w:tcPr>
            <w:tcW w:w="732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9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是否参加培训</w:t>
            </w:r>
          </w:p>
        </w:tc>
        <w:tc>
          <w:tcPr>
            <w:tcW w:w="9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9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是否参加线上学习</w:t>
            </w:r>
          </w:p>
        </w:tc>
        <w:tc>
          <w:tcPr>
            <w:tcW w:w="9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9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建议</w:t>
            </w:r>
          </w:p>
        </w:tc>
        <w:tc>
          <w:tcPr>
            <w:tcW w:w="95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产业发展状况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3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3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3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3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3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 w:asciiTheme="minorEastAsia" w:hAnsiTheme="minorEastAsia" w:cstheme="minorEastAsia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ind w:firstLine="0" w:firstLineChars="0"/>
        <w:jc w:val="both"/>
        <w:rPr>
          <w:rStyle w:val="10"/>
          <w:rFonts w:hint="default" w:ascii="Times New Roman" w:hAnsi="Times New Roman" w:eastAsia="方正小标宋简体" w:cs="Times New Roman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154" w:bottom="1474" w:left="2041" w:header="851" w:footer="1587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b/>
          <w:bCs w:val="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252095</wp:posOffset>
                </wp:positionV>
                <wp:extent cx="5615940" cy="12065"/>
                <wp:effectExtent l="0" t="4445" r="3810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5pt;margin-top:19.85pt;height:0.95pt;width:442.2pt;z-index:251662336;mso-width-relative:page;mso-height-relative:page;" filled="f" stroked="t" coordsize="21600,21600" o:gfxdata="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/OMPtUAAAAGAQAADwAAAAAAAAABACAAAAAiAAAAZHJzL2Rvd25yZXYu&#10;eG1sUEsBAhQAFAAAAAgAh07iQImc2Vb+AQAA8g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ind w:firstLine="321" w:firstLineChars="100"/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434340</wp:posOffset>
                </wp:positionV>
                <wp:extent cx="5615940" cy="12065"/>
                <wp:effectExtent l="0" t="4445" r="3810" b="1206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15pt;margin-top:34.2pt;height:0.95pt;width:442.2pt;z-index:251660288;mso-width-relative:page;mso-height-relative:page;" filled="f" stroked="t" coordsize="21600,21600" o:gfxdata="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1mY63VAAAABwEAAA8AAAAAAAAAAQAgAAAAIgAAAGRycy9kb3ducmV2&#10;LnhtbFBLAQIUABQAAAAIAIdO4kAmqEr0/wEAAPIDAAAOAAAAAAAAAAEAIAAAACQ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lang w:val="en-US" w:eastAsia="zh-CN"/>
        </w:rPr>
        <w:t>公开选项：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lang w:val="en-US" w:eastAsia="zh-CN"/>
        </w:rPr>
        <w:t>主动</w:t>
      </w: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lang w:val="en-US" w:eastAsia="zh-CN"/>
        </w:rPr>
        <w:t>公开</w:t>
      </w:r>
    </w:p>
    <w:p>
      <w:pPr>
        <w:pStyle w:val="5"/>
        <w:ind w:left="0" w:leftChars="0" w:firstLine="0" w:firstLineChars="0"/>
        <w:jc w:val="center"/>
        <w:rPr>
          <w:rStyle w:val="10"/>
          <w:rFonts w:hint="default" w:ascii="Times New Roman" w:hAnsi="Times New Roman" w:eastAsia="方正小标宋简体" w:cs="Times New Roman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415290</wp:posOffset>
                </wp:positionV>
                <wp:extent cx="5615940" cy="12065"/>
                <wp:effectExtent l="0" t="4445" r="3810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1pt;margin-top:32.7pt;height:0.95pt;width:442.2pt;z-index:251661312;mso-width-relative:page;mso-height-relative:page;" filled="f" stroked="t" coordsize="21600,21600" o:gfxdata="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dW0Om1AAAAAYBAAAPAAAAAAAAAAEAIAAAACIAAABkcnMvZG93bnJl&#10;di54bWxQSwECFAAUAAAACACHTuJAOccdagECAADy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济宁市农业农村局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日印发</w:t>
      </w:r>
    </w:p>
    <w:sectPr>
      <w:footerReference r:id="rId5" w:type="default"/>
      <w:footerReference r:id="rId6" w:type="even"/>
      <w:pgSz w:w="11906" w:h="16838"/>
      <w:pgMar w:top="2154" w:right="1474" w:bottom="2041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7F9D3F-DB8D-4376-8B8D-45D05359E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EBD431-FE2D-42A5-8F1F-E36E734282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184CBD-B696-4E74-9C14-9B3FE1CAD9D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BC3C43-B57F-4F45-8C6C-8154CCB753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5C556F2-4277-4AE0-9EEC-38FD3528C8B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1D70A47-9D24-4FEE-946D-6C798155558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4116B0B-9015-404C-9143-48C73C0FA322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16002A6B-9AA4-4A31-BAE4-428E60BFAFF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797E5EFD-588D-432D-9DA9-9AF7BE226E14}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0" w:fontKey="{A0B0630D-E0F2-4534-8FCB-8626010B3B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ascii="Times New Roman" w:hAnsi="Times New Roman" w:eastAsia="宋体" w:cs="Times New Roman"/>
        <w:b/>
        <w:bCs/>
        <w:sz w:val="28"/>
        <w:szCs w:val="28"/>
        <w:lang w:val="en-US" w:eastAsia="zh-CN"/>
      </w:rPr>
    </w:pPr>
    <w:r>
      <w:rPr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Fonts w:hint="default" w:ascii="Times New Roman" w:hAnsi="Times New Roman" w:cs="Times New Roman"/>
        <w:b/>
        <w:bCs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Fonts w:hint="default" w:ascii="Times New Roman" w:hAnsi="Times New Roman" w:cs="Times New Roman"/>
        <w:b/>
        <w:bCs/>
        <w:sz w:val="28"/>
        <w:szCs w:val="28"/>
      </w:rPr>
      <w:t>1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Fonts w:hint="default" w:ascii="Times New Roman" w:hAnsi="Times New Roman" w:cs="Times New Roman"/>
        <w:b/>
        <w:bCs/>
        <w:sz w:val="28"/>
        <w:szCs w:val="28"/>
      </w:rPr>
      <w:t xml:space="preserve"> —</w:t>
    </w:r>
    <w:r>
      <w:rPr>
        <w:rFonts w:hint="eastAsia" w:ascii="Times New Roman" w:hAnsi="Times New Roman" w:cs="Times New Roman"/>
        <w:b/>
        <w:bCs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ind w:firstLine="281" w:firstLineChars="100"/>
      <w:jc w:val="left"/>
      <w:rPr>
        <w:b/>
        <w:bCs/>
      </w:rPr>
    </w:pPr>
    <w:r>
      <w:rPr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Fonts w:hint="default" w:ascii="Times New Roman" w:hAnsi="Times New Roman" w:cs="Times New Roman"/>
        <w:b/>
        <w:bCs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Fonts w:hint="default" w:ascii="Times New Roman" w:hAnsi="Times New Roman" w:cs="Times New Roman"/>
        <w:b/>
        <w:bCs/>
        <w:sz w:val="28"/>
        <w:szCs w:val="28"/>
      </w:rPr>
      <w:t>1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Fonts w:hint="default" w:ascii="Times New Roman" w:hAnsi="Times New Roman" w:cs="Times New Roman"/>
        <w:b/>
        <w:bCs/>
        <w:sz w:val="28"/>
        <w:szCs w:val="28"/>
      </w:rPr>
      <w:t xml:space="preserve"> —</w:t>
    </w:r>
    <w:r>
      <w:rPr>
        <w:rFonts w:hint="eastAsia" w:ascii="Times New Roman" w:hAnsi="Times New Roman" w:cs="Times New Roman"/>
        <w:b/>
        <w:bCs/>
        <w:sz w:val="28"/>
        <w:szCs w:val="28"/>
        <w:lang w:val="en-US"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hint="default" w:ascii="Times New Roman" w:hAnsi="Times New Roman" w:eastAsia="宋体" w:cs="Times New Roman"/>
        <w:b/>
        <w:bCs/>
        <w:sz w:val="28"/>
        <w:szCs w:val="28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ind w:firstLine="181" w:firstLineChars="100"/>
      <w:rPr>
        <w:b/>
        <w:bCs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47600"/>
    <w:multiLevelType w:val="singleLevel"/>
    <w:tmpl w:val="7E5476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Tc1NTc0OGY1ODI0Yzg3Nzc1ZTFhZGIyY2E2NmMifQ=="/>
  </w:docVars>
  <w:rsids>
    <w:rsidRoot w:val="7B7E780D"/>
    <w:rsid w:val="032A25DE"/>
    <w:rsid w:val="090B5543"/>
    <w:rsid w:val="0DDC3F10"/>
    <w:rsid w:val="105C0433"/>
    <w:rsid w:val="11F254F3"/>
    <w:rsid w:val="16CEC105"/>
    <w:rsid w:val="16E64DAD"/>
    <w:rsid w:val="1CCA7772"/>
    <w:rsid w:val="1D104A7F"/>
    <w:rsid w:val="1FDD552B"/>
    <w:rsid w:val="204762AF"/>
    <w:rsid w:val="218A38D3"/>
    <w:rsid w:val="292A1D28"/>
    <w:rsid w:val="2CE9197A"/>
    <w:rsid w:val="2DF1DFE4"/>
    <w:rsid w:val="2DF33D2D"/>
    <w:rsid w:val="302208F9"/>
    <w:rsid w:val="333E3DB4"/>
    <w:rsid w:val="35357283"/>
    <w:rsid w:val="358931C8"/>
    <w:rsid w:val="3A520FD8"/>
    <w:rsid w:val="40994C08"/>
    <w:rsid w:val="47B86D72"/>
    <w:rsid w:val="4B0330DE"/>
    <w:rsid w:val="4F9FBDC8"/>
    <w:rsid w:val="575256B8"/>
    <w:rsid w:val="57EE1568"/>
    <w:rsid w:val="5BBFF915"/>
    <w:rsid w:val="5E5F88DB"/>
    <w:rsid w:val="69431D0B"/>
    <w:rsid w:val="6AAD2EDA"/>
    <w:rsid w:val="6C1B0562"/>
    <w:rsid w:val="6C4168EF"/>
    <w:rsid w:val="6D317DF2"/>
    <w:rsid w:val="6DE5C52D"/>
    <w:rsid w:val="6DFF2F46"/>
    <w:rsid w:val="6E554CE0"/>
    <w:rsid w:val="6EA86553"/>
    <w:rsid w:val="719A6968"/>
    <w:rsid w:val="727F515C"/>
    <w:rsid w:val="736E6F7E"/>
    <w:rsid w:val="75CD4430"/>
    <w:rsid w:val="76FBA60C"/>
    <w:rsid w:val="77562203"/>
    <w:rsid w:val="7B7E780D"/>
    <w:rsid w:val="7B955F97"/>
    <w:rsid w:val="7DFE93C9"/>
    <w:rsid w:val="7E584AB3"/>
    <w:rsid w:val="7ECF7073"/>
    <w:rsid w:val="7ED9307A"/>
    <w:rsid w:val="7F4F94DF"/>
    <w:rsid w:val="7F59CF38"/>
    <w:rsid w:val="7F7DFE43"/>
    <w:rsid w:val="7F9D30C5"/>
    <w:rsid w:val="9BDD3A91"/>
    <w:rsid w:val="9FDBD81E"/>
    <w:rsid w:val="BE751861"/>
    <w:rsid w:val="BFED0BCE"/>
    <w:rsid w:val="CA7F7F8D"/>
    <w:rsid w:val="CF5E8965"/>
    <w:rsid w:val="DE6F9D51"/>
    <w:rsid w:val="DF8BA100"/>
    <w:rsid w:val="DFDDB63E"/>
    <w:rsid w:val="EFDFAD14"/>
    <w:rsid w:val="F7FD3E4D"/>
    <w:rsid w:val="FADDCFC1"/>
    <w:rsid w:val="FD590145"/>
    <w:rsid w:val="FE7F52A2"/>
    <w:rsid w:val="FF3F182F"/>
    <w:rsid w:val="FF9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1"/>
    <w:qFormat/>
    <w:uiPriority w:val="0"/>
    <w:pPr>
      <w:widowControl/>
      <w:spacing w:after="120" w:line="480" w:lineRule="auto"/>
      <w:ind w:left="420" w:leftChars="200"/>
      <w:jc w:val="both"/>
      <w:textAlignment w:val="baseline"/>
    </w:pPr>
    <w:rPr>
      <w:rFonts w:ascii="Times New Roman" w:hAnsi="Times New Roman" w:eastAsia="楷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NormalCharacter"/>
    <w:semiHidden/>
    <w:qFormat/>
    <w:uiPriority w:val="99"/>
  </w:style>
  <w:style w:type="paragraph" w:customStyle="1" w:styleId="11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7056</Words>
  <Characters>7387</Characters>
  <Lines>0</Lines>
  <Paragraphs>0</Paragraphs>
  <TotalTime>1</TotalTime>
  <ScaleCrop>false</ScaleCrop>
  <LinksUpToDate>false</LinksUpToDate>
  <CharactersWithSpaces>7636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2023-06-24T08:29:00Z</dcterms:created>
  <dc:creator>Administrator</dc:creator>
  <cp:lastModifiedBy>张伟</cp:lastModifiedBy>
  <cp:lastPrinted>2023-07-14T10:59:00Z</cp:lastPrinted>
  <dcterms:modified xsi:type="dcterms:W3CDTF">2023-09-19T03:59:52Z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308653862E0B4F3CAC81036C918D10C4_13</vt:lpwstr>
  </property>
</Properties>
</file>