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jc w:val="center"/>
        <w:rPr>
          <w:rFonts w:ascii="黑体" w:hAnsi="黑体" w:eastAsia="黑体"/>
          <w:sz w:val="32"/>
          <w:szCs w:val="32"/>
        </w:rPr>
      </w:pPr>
    </w:p>
    <w:p>
      <w:pPr>
        <w:jc w:val="center"/>
        <w:rPr>
          <w:rFonts w:ascii="仿宋_GB2312" w:eastAsia="仿宋_GB2312"/>
        </w:rPr>
      </w:pPr>
    </w:p>
    <w:p>
      <w:pPr>
        <w:jc w:val="center"/>
        <w:rPr>
          <w:rFonts w:ascii="仿宋_GB2312" w:eastAsia="仿宋_GB2312"/>
        </w:rPr>
      </w:pPr>
    </w:p>
    <w:p>
      <w:pPr>
        <w:jc w:val="center"/>
        <w:rPr>
          <w:rFonts w:ascii="方正小标宋简体" w:eastAsia="方正小标宋简体"/>
          <w:spacing w:val="60"/>
          <w:sz w:val="74"/>
        </w:rPr>
      </w:pPr>
      <w:r>
        <w:rPr>
          <w:rFonts w:hint="eastAsia" w:ascii="方正小标宋简体" w:eastAsia="方正小标宋简体"/>
          <w:spacing w:val="60"/>
          <w:sz w:val="74"/>
        </w:rPr>
        <w:t>2020年度</w:t>
      </w:r>
    </w:p>
    <w:p>
      <w:pPr>
        <w:jc w:val="center"/>
        <w:rPr>
          <w:rFonts w:hint="eastAsia" w:ascii="方正小标宋简体" w:eastAsia="方正小标宋简体"/>
          <w:spacing w:val="60"/>
          <w:sz w:val="74"/>
          <w:lang w:val="en-US" w:eastAsia="zh-CN"/>
        </w:rPr>
      </w:pPr>
      <w:r>
        <w:rPr>
          <w:rFonts w:hint="eastAsia" w:ascii="方正小标宋简体" w:eastAsia="方正小标宋简体"/>
          <w:spacing w:val="60"/>
          <w:sz w:val="74"/>
          <w:lang w:val="en-US" w:eastAsia="zh-CN"/>
        </w:rPr>
        <w:t>济宁市水产技术推广站</w:t>
      </w:r>
    </w:p>
    <w:p>
      <w:pPr>
        <w:jc w:val="center"/>
        <w:rPr>
          <w:rFonts w:ascii="方正小标宋简体" w:eastAsia="方正小标宋简体"/>
          <w:spacing w:val="60"/>
          <w:sz w:val="74"/>
        </w:rPr>
      </w:pPr>
      <w:r>
        <w:rPr>
          <w:rFonts w:hint="eastAsia" w:ascii="方正小标宋简体" w:eastAsia="方正小标宋简体"/>
          <w:spacing w:val="60"/>
          <w:sz w:val="74"/>
        </w:rPr>
        <w:t>部门决算</w:t>
      </w:r>
    </w:p>
    <w:p>
      <w:pPr>
        <w:jc w:val="center"/>
        <w:rPr>
          <w:rFonts w:ascii="楷体_GB2312" w:eastAsia="楷体_GB2312"/>
          <w:b/>
          <w:sz w:val="42"/>
        </w:rPr>
      </w:pPr>
    </w:p>
    <w:p>
      <w:pPr>
        <w:jc w:val="center"/>
        <w:rPr>
          <w:rFonts w:ascii="楷体_GB2312" w:eastAsia="楷体_GB2312"/>
          <w:b/>
          <w:sz w:val="42"/>
        </w:rPr>
      </w:pPr>
    </w:p>
    <w:p>
      <w:pPr>
        <w:jc w:val="center"/>
        <w:rPr>
          <w:rFonts w:ascii="仿宋_GB2312" w:eastAsia="仿宋_GB2312"/>
        </w:rPr>
      </w:pPr>
    </w:p>
    <w:p>
      <w:pPr>
        <w:rPr>
          <w:rFonts w:ascii="仿宋_GB2312" w:eastAsia="仿宋_GB2312"/>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rPr>
          <w:rFonts w:ascii="方正小标宋简体" w:eastAsia="方正小标宋简体"/>
          <w:sz w:val="44"/>
          <w:szCs w:val="44"/>
        </w:rPr>
      </w:pPr>
    </w:p>
    <w:p>
      <w:pPr>
        <w:spacing w:afterLines="50" w:line="580" w:lineRule="exact"/>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一、部门职责</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二、机构设置</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第二部分  2020年度部门决算表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第三部分  2020年度部门决算情况说明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九、国有资本经营预算财政拨款收入支出决算表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十、重要事项情况说明</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第四部分  名词解释</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第五部分  附件 </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 </w:t>
      </w: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both"/>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第一部分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部门概况</w:t>
      </w:r>
    </w:p>
    <w:p>
      <w:pPr>
        <w:jc w:val="center"/>
        <w:rPr>
          <w:rFonts w:ascii="仿宋_GB2312" w:eastAsia="仿宋_GB2312"/>
        </w:rPr>
        <w:sectPr>
          <w:pgSz w:w="11906" w:h="16838"/>
          <w:pgMar w:top="1701" w:right="1531" w:bottom="1701" w:left="1531" w:header="0" w:footer="1418" w:gutter="0"/>
          <w:cols w:space="720" w:num="1"/>
          <w:docGrid w:type="linesAndChars" w:linePitch="610" w:charSpace="-849"/>
        </w:sectPr>
      </w:pPr>
    </w:p>
    <w:p>
      <w:pPr>
        <w:ind w:firstLine="632" w:firstLineChars="200"/>
        <w:rPr>
          <w:rFonts w:ascii="黑体" w:hAnsi="黑体" w:eastAsia="黑体"/>
          <w:sz w:val="32"/>
          <w:szCs w:val="32"/>
        </w:rPr>
      </w:pPr>
      <w:r>
        <w:rPr>
          <w:rFonts w:hint="eastAsia" w:ascii="黑体" w:hAnsi="黑体" w:eastAsia="黑体"/>
          <w:sz w:val="32"/>
          <w:szCs w:val="32"/>
        </w:rPr>
        <w:t>一、部门职责</w:t>
      </w:r>
    </w:p>
    <w:p>
      <w:pPr>
        <w:ind w:firstLine="632" w:firstLineChars="200"/>
        <w:rPr>
          <w:rFonts w:ascii="仿宋_GB2312" w:eastAsia="仿宋_GB2312"/>
          <w:sz w:val="32"/>
          <w:szCs w:val="32"/>
        </w:rPr>
      </w:pPr>
      <w:r>
        <w:rPr>
          <w:rFonts w:hint="eastAsia" w:ascii="仿宋_GB2312" w:eastAsia="仿宋_GB2312"/>
          <w:sz w:val="32"/>
          <w:szCs w:val="32"/>
          <w:lang w:val="en-US" w:eastAsia="zh-CN"/>
        </w:rPr>
        <w:t>推广水产技术，促进渔业发展。水产技术推广；水产推广体系指导；水产新技术引进与试验示范；水产技术培训；水产职业技能鉴定；水产病害防治；鱼药鱼饵质量监测；渔业技术服务。</w:t>
      </w:r>
    </w:p>
    <w:p>
      <w:pPr>
        <w:ind w:firstLine="632" w:firstLineChars="200"/>
        <w:rPr>
          <w:rFonts w:ascii="仿宋_GB2312" w:eastAsia="仿宋_GB2312"/>
          <w:sz w:val="32"/>
          <w:szCs w:val="32"/>
        </w:rPr>
      </w:pPr>
    </w:p>
    <w:p>
      <w:pPr>
        <w:ind w:firstLine="632" w:firstLineChars="200"/>
        <w:rPr>
          <w:rFonts w:ascii="仿宋_GB2312" w:eastAsia="仿宋_GB2312"/>
          <w:sz w:val="32"/>
          <w:szCs w:val="32"/>
        </w:rPr>
      </w:pPr>
    </w:p>
    <w:p>
      <w:pPr>
        <w:ind w:firstLine="632" w:firstLineChars="200"/>
        <w:rPr>
          <w:rFonts w:ascii="黑体" w:hAnsi="黑体" w:eastAsia="黑体"/>
          <w:sz w:val="32"/>
          <w:szCs w:val="32"/>
        </w:rPr>
      </w:pPr>
      <w:r>
        <w:rPr>
          <w:rFonts w:hint="eastAsia" w:ascii="黑体" w:hAnsi="黑体" w:eastAsia="黑体"/>
          <w:sz w:val="32"/>
          <w:szCs w:val="32"/>
        </w:rPr>
        <w:t>二、机构设置</w:t>
      </w:r>
    </w:p>
    <w:p>
      <w:pPr>
        <w:ind w:firstLine="632" w:firstLineChars="200"/>
        <w:rPr>
          <w:rFonts w:ascii="仿宋_GB2312" w:eastAsia="仿宋_GB2312"/>
          <w:sz w:val="32"/>
          <w:szCs w:val="32"/>
        </w:rPr>
      </w:pPr>
      <w:r>
        <w:rPr>
          <w:rFonts w:hint="eastAsia" w:ascii="仿宋_GB2312" w:eastAsia="仿宋_GB2312"/>
          <w:sz w:val="32"/>
          <w:szCs w:val="32"/>
        </w:rPr>
        <w:t>从决算单位构成看，</w:t>
      </w:r>
      <w:r>
        <w:rPr>
          <w:rFonts w:hint="eastAsia" w:ascii="仿宋_GB2312" w:eastAsia="仿宋_GB2312"/>
          <w:sz w:val="32"/>
          <w:szCs w:val="32"/>
          <w:lang w:val="en-US" w:eastAsia="zh-CN"/>
        </w:rPr>
        <w:t>济宁市水产技术推广站</w:t>
      </w:r>
      <w:r>
        <w:rPr>
          <w:rFonts w:hint="eastAsia" w:ascii="仿宋_GB2312" w:eastAsia="仿宋_GB2312"/>
          <w:sz w:val="32"/>
          <w:szCs w:val="32"/>
        </w:rPr>
        <w:t>决算包括：本级决算。</w:t>
      </w:r>
    </w:p>
    <w:p>
      <w:pPr>
        <w:ind w:firstLine="632" w:firstLineChars="200"/>
        <w:rPr>
          <w:rFonts w:ascii="仿宋_GB2312" w:eastAsia="仿宋_GB2312"/>
          <w:sz w:val="32"/>
          <w:szCs w:val="32"/>
        </w:rPr>
      </w:pPr>
      <w:r>
        <w:rPr>
          <w:rFonts w:hint="eastAsia" w:ascii="仿宋_GB2312" w:eastAsia="仿宋_GB2312"/>
          <w:sz w:val="32"/>
          <w:szCs w:val="32"/>
        </w:rPr>
        <w:t>纳入</w:t>
      </w:r>
      <w:r>
        <w:rPr>
          <w:rFonts w:hint="eastAsia" w:ascii="仿宋_GB2312" w:eastAsia="仿宋_GB2312"/>
          <w:sz w:val="32"/>
          <w:szCs w:val="32"/>
          <w:lang w:val="en-US" w:eastAsia="zh-CN"/>
        </w:rPr>
        <w:t>济宁市水产技术推广站</w:t>
      </w:r>
      <w:r>
        <w:rPr>
          <w:rFonts w:hint="eastAsia" w:ascii="仿宋_GB2312" w:eastAsia="仿宋_GB2312"/>
          <w:sz w:val="32"/>
          <w:szCs w:val="32"/>
        </w:rPr>
        <w:t>2020年度部门决算编制范围的预算单位</w:t>
      </w:r>
      <w:r>
        <w:rPr>
          <w:rFonts w:hint="eastAsia" w:ascii="仿宋_GB2312" w:eastAsia="仿宋_GB2312"/>
          <w:sz w:val="32"/>
          <w:szCs w:val="32"/>
          <w:lang w:val="en-US" w:eastAsia="zh-CN"/>
        </w:rPr>
        <w:t>1</w:t>
      </w:r>
      <w:r>
        <w:rPr>
          <w:rFonts w:hint="eastAsia" w:ascii="仿宋_GB2312" w:eastAsia="仿宋_GB2312"/>
          <w:sz w:val="32"/>
          <w:szCs w:val="32"/>
        </w:rPr>
        <w:t>个，包括：</w:t>
      </w:r>
    </w:p>
    <w:p>
      <w:pPr>
        <w:ind w:firstLine="632"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济宁市水产技术推广站</w:t>
      </w:r>
      <w:r>
        <w:rPr>
          <w:rFonts w:hint="eastAsia" w:ascii="仿宋_GB2312" w:eastAsia="仿宋_GB2312"/>
          <w:sz w:val="32"/>
          <w:szCs w:val="32"/>
        </w:rPr>
        <w:t>本级</w:t>
      </w: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2"/>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2020年度部门决算表</w:t>
      </w:r>
    </w:p>
    <w:p>
      <w:pPr>
        <w:jc w:val="left"/>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r>
        <w:drawing>
          <wp:inline distT="0" distB="0" distL="114300" distR="114300">
            <wp:extent cx="5610860" cy="7349490"/>
            <wp:effectExtent l="0" t="0" r="889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5610860" cy="7349490"/>
                    </a:xfrm>
                    <a:prstGeom prst="rect">
                      <a:avLst/>
                    </a:prstGeom>
                    <a:noFill/>
                    <a:ln>
                      <a:noFill/>
                    </a:ln>
                  </pic:spPr>
                </pic:pic>
              </a:graphicData>
            </a:graphic>
          </wp:inline>
        </w:drawing>
      </w:r>
    </w:p>
    <w:p>
      <w:pPr>
        <w:jc w:val="both"/>
        <w:rPr>
          <w:rFonts w:ascii="仿宋_GB2312" w:hAnsi="宋体" w:eastAsia="仿宋_GB2312"/>
          <w:sz w:val="22"/>
        </w:rPr>
      </w:pPr>
      <w:r>
        <w:drawing>
          <wp:inline distT="0" distB="0" distL="114300" distR="114300">
            <wp:extent cx="8529320" cy="2094230"/>
            <wp:effectExtent l="0" t="0" r="5080" b="127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8529320" cy="2094230"/>
                    </a:xfrm>
                    <a:prstGeom prst="rect">
                      <a:avLst/>
                    </a:prstGeom>
                    <a:noFill/>
                    <a:ln>
                      <a:noFill/>
                    </a:ln>
                  </pic:spPr>
                </pic:pic>
              </a:graphicData>
            </a:graphic>
          </wp:inline>
        </w:drawing>
      </w:r>
    </w:p>
    <w:p>
      <w:pPr>
        <w:jc w:val="both"/>
        <w:rPr>
          <w:rFonts w:ascii="仿宋_GB2312" w:hAnsi="宋体" w:eastAsia="仿宋_GB2312"/>
          <w:sz w:val="22"/>
        </w:rPr>
      </w:pPr>
    </w:p>
    <w:p>
      <w:pPr>
        <w:jc w:val="both"/>
        <w:rPr>
          <w:rFonts w:ascii="仿宋_GB2312" w:hAnsi="宋体" w:eastAsia="仿宋_GB2312"/>
          <w:sz w:val="22"/>
        </w:rPr>
      </w:pPr>
    </w:p>
    <w:p>
      <w:pPr>
        <w:jc w:val="both"/>
        <w:rPr>
          <w:rFonts w:ascii="仿宋_GB2312" w:hAnsi="宋体" w:eastAsia="仿宋_GB2312"/>
          <w:sz w:val="22"/>
        </w:rPr>
      </w:pPr>
    </w:p>
    <w:p>
      <w:pPr>
        <w:jc w:val="left"/>
        <w:rPr>
          <w:rFonts w:hint="eastAsia" w:ascii="方正小标宋简体" w:eastAsia="方正小标宋简体"/>
          <w:sz w:val="44"/>
          <w:szCs w:val="44"/>
        </w:rPr>
      </w:pPr>
      <w:r>
        <w:drawing>
          <wp:inline distT="0" distB="0" distL="114300" distR="114300">
            <wp:extent cx="8522970" cy="2169160"/>
            <wp:effectExtent l="0" t="0" r="11430" b="254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8"/>
                    <a:stretch>
                      <a:fillRect/>
                    </a:stretch>
                  </pic:blipFill>
                  <pic:spPr>
                    <a:xfrm>
                      <a:off x="0" y="0"/>
                      <a:ext cx="8522970" cy="2169160"/>
                    </a:xfrm>
                    <a:prstGeom prst="rect">
                      <a:avLst/>
                    </a:prstGeom>
                    <a:noFill/>
                    <a:ln>
                      <a:noFill/>
                    </a:ln>
                  </pic:spPr>
                </pic:pic>
              </a:graphicData>
            </a:graphic>
          </wp:inline>
        </w:drawing>
      </w:r>
    </w:p>
    <w:p>
      <w:pPr>
        <w:jc w:val="both"/>
        <w:rPr>
          <w:rFonts w:hint="eastAsia" w:ascii="方正小标宋简体" w:eastAsia="方正小标宋简体"/>
          <w:sz w:val="44"/>
          <w:szCs w:val="44"/>
        </w:rPr>
      </w:pPr>
    </w:p>
    <w:p>
      <w:pPr>
        <w:jc w:val="both"/>
        <w:rPr>
          <w:rFonts w:ascii="方正小标宋简体" w:eastAsia="方正小标宋简体"/>
          <w:sz w:val="44"/>
          <w:szCs w:val="44"/>
        </w:rPr>
      </w:pPr>
    </w:p>
    <w:p>
      <w:pPr>
        <w:spacing w:line="400" w:lineRule="exact"/>
        <w:jc w:val="left"/>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r>
        <w:rPr>
          <w:rFonts w:hint="eastAsia" w:ascii="楷体_GB2312" w:eastAsia="楷体_GB2312"/>
          <w:sz w:val="28"/>
          <w:szCs w:val="28"/>
        </w:rPr>
        <w:t xml:space="preserve">                                                                               </w:t>
      </w:r>
    </w:p>
    <w:p>
      <w:pPr>
        <w:jc w:val="left"/>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r>
        <w:drawing>
          <wp:inline distT="0" distB="0" distL="114300" distR="114300">
            <wp:extent cx="8527415" cy="6349365"/>
            <wp:effectExtent l="0" t="0" r="6985" b="1333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9"/>
                    <a:stretch>
                      <a:fillRect/>
                    </a:stretch>
                  </pic:blipFill>
                  <pic:spPr>
                    <a:xfrm>
                      <a:off x="0" y="0"/>
                      <a:ext cx="8527415" cy="6349365"/>
                    </a:xfrm>
                    <a:prstGeom prst="rect">
                      <a:avLst/>
                    </a:prstGeom>
                    <a:noFill/>
                    <a:ln>
                      <a:noFill/>
                    </a:ln>
                  </pic:spPr>
                </pic:pic>
              </a:graphicData>
            </a:graphic>
          </wp:inline>
        </w:drawing>
      </w:r>
    </w:p>
    <w:p>
      <w:pPr>
        <w:jc w:val="left"/>
      </w:pPr>
      <w:r>
        <w:drawing>
          <wp:inline distT="0" distB="0" distL="114300" distR="114300">
            <wp:extent cx="8359775" cy="2524125"/>
            <wp:effectExtent l="0" t="0" r="3175" b="952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0"/>
                    <a:stretch>
                      <a:fillRect/>
                    </a:stretch>
                  </pic:blipFill>
                  <pic:spPr>
                    <a:xfrm>
                      <a:off x="0" y="0"/>
                      <a:ext cx="8359775" cy="2524125"/>
                    </a:xfrm>
                    <a:prstGeom prst="rect">
                      <a:avLst/>
                    </a:prstGeom>
                    <a:noFill/>
                    <a:ln>
                      <a:noFill/>
                    </a:ln>
                  </pic:spPr>
                </pic:pic>
              </a:graphicData>
            </a:graphic>
          </wp:inline>
        </w:drawing>
      </w:r>
    </w:p>
    <w:p>
      <w:pPr>
        <w:jc w:val="left"/>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left"/>
        <w:rPr>
          <w:rFonts w:hint="eastAsia" w:ascii="方正小标宋简体" w:eastAsia="方正小标宋简体"/>
          <w:sz w:val="44"/>
          <w:szCs w:val="44"/>
        </w:rPr>
      </w:pPr>
      <w:r>
        <w:drawing>
          <wp:inline distT="0" distB="0" distL="114300" distR="114300">
            <wp:extent cx="8519795" cy="5437505"/>
            <wp:effectExtent l="0" t="0" r="14605" b="10795"/>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1"/>
                    <a:stretch>
                      <a:fillRect/>
                    </a:stretch>
                  </pic:blipFill>
                  <pic:spPr>
                    <a:xfrm>
                      <a:off x="0" y="0"/>
                      <a:ext cx="8519795" cy="5437505"/>
                    </a:xfrm>
                    <a:prstGeom prst="rect">
                      <a:avLst/>
                    </a:prstGeom>
                    <a:noFill/>
                    <a:ln>
                      <a:noFill/>
                    </a:ln>
                  </pic:spPr>
                </pic:pic>
              </a:graphicData>
            </a:graphic>
          </wp:inline>
        </w:drawing>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4"/>
        <w:tblW w:w="0" w:type="auto"/>
        <w:jc w:val="center"/>
        <w:tblLayout w:type="fixed"/>
        <w:tblCellMar>
          <w:top w:w="0" w:type="dxa"/>
          <w:left w:w="108" w:type="dxa"/>
          <w:bottom w:w="0" w:type="dxa"/>
          <w:right w:w="108" w:type="dxa"/>
        </w:tblCellMar>
      </w:tblPr>
      <w:tblGrid>
        <w:gridCol w:w="1179"/>
        <w:gridCol w:w="1195"/>
        <w:gridCol w:w="1180"/>
        <w:gridCol w:w="1180"/>
        <w:gridCol w:w="1188"/>
        <w:gridCol w:w="962"/>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54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62" w:type="dxa"/>
            <w:vMerge w:val="restart"/>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62" w:type="dxa"/>
            <w:vMerge w:val="continue"/>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ascii="仿宋_GB2312" w:hAnsi="宋体" w:eastAsia="仿宋_GB2312" w:cs="宋体"/>
                <w:kern w:val="0"/>
                <w:sz w:val="22"/>
              </w:rPr>
            </w:pP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left"/>
              <w:rPr>
                <w:rFonts w:ascii="仿宋_GB2312" w:hAnsi="宋体" w:eastAsia="仿宋_GB2312" w:cs="宋体"/>
                <w:kern w:val="0"/>
                <w:sz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bl>
    <w:p>
      <w:pPr>
        <w:spacing w:line="360" w:lineRule="exact"/>
        <w:ind w:firstLine="108" w:firstLineChars="50"/>
        <w:rPr>
          <w:rFonts w:ascii="仿宋_GB2312" w:hAnsi="宋体" w:eastAsia="仿宋_GB2312"/>
          <w:sz w:val="22"/>
        </w:rPr>
      </w:pPr>
      <w:r>
        <w:rPr>
          <w:rFonts w:hint="eastAsia" w:ascii="仿宋_GB2312" w:hAnsi="宋体" w:eastAsia="仿宋_GB2312"/>
          <w:sz w:val="22"/>
        </w:rPr>
        <w:t>注：本表反映部门本年度“三公”经费支出预决算情况。其中：预算数为“三公”经费年初预算数，决算数包括当年一般公共预算财政拨款</w:t>
      </w:r>
    </w:p>
    <w:p>
      <w:pPr>
        <w:spacing w:line="360" w:lineRule="exact"/>
        <w:ind w:firstLine="540" w:firstLineChars="250"/>
        <w:rPr>
          <w:rFonts w:ascii="仿宋_GB2312" w:hAnsi="宋体" w:eastAsia="仿宋_GB2312"/>
          <w:sz w:val="22"/>
        </w:rPr>
      </w:pPr>
      <w:r>
        <w:rPr>
          <w:rFonts w:hint="eastAsia" w:ascii="仿宋_GB2312" w:hAnsi="宋体" w:eastAsia="仿宋_GB2312"/>
          <w:sz w:val="22"/>
        </w:rPr>
        <w:t>和以前年度结转资金安排的实际支出。</w:t>
      </w:r>
    </w:p>
    <w:p>
      <w:pPr>
        <w:ind w:firstLine="108" w:firstLineChars="50"/>
        <w:rPr>
          <w:rFonts w:ascii="仿宋_GB2312" w:hAnsi="宋体" w:eastAsia="仿宋_GB2312"/>
          <w:sz w:val="22"/>
        </w:rPr>
      </w:pPr>
      <w:r>
        <w:rPr>
          <w:rFonts w:hint="eastAsia" w:ascii="仿宋_GB2312" w:hAnsi="宋体" w:eastAsia="仿宋_GB2312"/>
          <w:sz w:val="22"/>
        </w:rPr>
        <w:t>本部门无一般公共预算安排的“三公”经费支出，故本表无数据</w:t>
      </w:r>
    </w:p>
    <w:p>
      <w:pPr>
        <w:rPr>
          <w:rFonts w:ascii="仿宋_GB2312" w:hAnsi="宋体" w:eastAsia="仿宋_GB2312"/>
          <w:sz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4"/>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ascii="仿宋_GB2312" w:hAnsi="宋体" w:eastAsia="仿宋_GB2312"/>
          <w:sz w:val="22"/>
        </w:rPr>
      </w:pPr>
      <w:r>
        <w:rPr>
          <w:rFonts w:hint="eastAsia" w:ascii="仿宋_GB2312" w:hAnsi="宋体" w:eastAsia="仿宋_GB2312"/>
          <w:sz w:val="22"/>
        </w:rPr>
        <w:t>注：本表反映部门本年度政府性基金预算财政拨款收入、支出及结转和结余情况。</w:t>
      </w:r>
    </w:p>
    <w:p>
      <w:pPr>
        <w:ind w:firstLine="108" w:firstLineChars="50"/>
        <w:rPr>
          <w:rFonts w:ascii="仿宋_GB2312" w:hAnsi="宋体" w:eastAsia="仿宋_GB2312"/>
          <w:sz w:val="22"/>
        </w:rPr>
      </w:pPr>
      <w:r>
        <w:rPr>
          <w:rFonts w:hint="eastAsia" w:ascii="仿宋_GB2312" w:hAnsi="宋体" w:eastAsia="仿宋_GB2312"/>
          <w:sz w:val="22"/>
        </w:rPr>
        <w:t>本部门没有政府性基金收入，也没有使用政府性基金安排的支出，故本表无数据。</w:t>
      </w:r>
    </w:p>
    <w:p>
      <w:pPr>
        <w:rPr>
          <w:rFonts w:ascii="仿宋_GB2312" w:hAnsi="宋体" w:eastAsia="仿宋_GB2312"/>
          <w:sz w:val="22"/>
        </w:rPr>
      </w:pPr>
    </w:p>
    <w:tbl>
      <w:tblPr>
        <w:tblStyle w:val="4"/>
        <w:tblW w:w="13202" w:type="dxa"/>
        <w:tblInd w:w="89" w:type="dxa"/>
        <w:tblLayout w:type="autofit"/>
        <w:tblCellMar>
          <w:top w:w="0" w:type="dxa"/>
          <w:left w:w="108" w:type="dxa"/>
          <w:bottom w:w="0" w:type="dxa"/>
          <w:right w:w="108" w:type="dxa"/>
        </w:tblCellMar>
      </w:tblPr>
      <w:tblGrid>
        <w:gridCol w:w="13202"/>
      </w:tblGrid>
      <w:tr>
        <w:tblPrEx>
          <w:tblCellMar>
            <w:top w:w="0" w:type="dxa"/>
            <w:left w:w="108" w:type="dxa"/>
            <w:bottom w:w="0" w:type="dxa"/>
            <w:right w:w="108" w:type="dxa"/>
          </w:tblCellMar>
        </w:tblPrEx>
        <w:trPr>
          <w:trHeight w:val="450" w:hRule="atLeast"/>
        </w:trPr>
        <w:tc>
          <w:tcPr>
            <w:tcW w:w="13202" w:type="dxa"/>
            <w:tcBorders>
              <w:top w:val="nil"/>
              <w:left w:val="nil"/>
              <w:bottom w:val="nil"/>
              <w:right w:val="nil"/>
            </w:tcBorders>
            <w:shd w:val="clear" w:color="000000" w:fill="FFFFFF"/>
            <w:noWrap/>
            <w:vAlign w:val="center"/>
          </w:tcPr>
          <w:p>
            <w:pPr>
              <w:jc w:val="center"/>
              <w:rPr>
                <w:rFonts w:ascii="方正小标宋简体" w:eastAsia="方正小标宋简体"/>
                <w:sz w:val="44"/>
                <w:szCs w:val="44"/>
              </w:rPr>
            </w:pPr>
            <w:r>
              <w:rPr>
                <w:rFonts w:hint="eastAsia" w:ascii="方正小标宋简体" w:eastAsia="方正小标宋简体"/>
                <w:sz w:val="44"/>
                <w:szCs w:val="44"/>
              </w:rPr>
              <w:t>国有资本经营预算财政拨款收入支出决算表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公开09表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                                                                             单位：万元</w:t>
            </w:r>
          </w:p>
          <w:tbl>
            <w:tblPr>
              <w:tblStyle w:val="4"/>
              <w:tblpPr w:leftFromText="180" w:rightFromText="180" w:vertAnchor="text" w:tblpXSpec="center" w:tblpY="1"/>
              <w:tblOverlap w:val="never"/>
              <w:tblW w:w="0" w:type="auto"/>
              <w:tblInd w:w="0" w:type="dxa"/>
              <w:tblLayout w:type="autofit"/>
              <w:tblCellMar>
                <w:top w:w="0" w:type="dxa"/>
                <w:left w:w="108" w:type="dxa"/>
                <w:bottom w:w="0" w:type="dxa"/>
                <w:right w:w="108" w:type="dxa"/>
              </w:tblCellMar>
            </w:tblPr>
            <w:tblGrid>
              <w:gridCol w:w="1350"/>
              <w:gridCol w:w="56"/>
              <w:gridCol w:w="1405"/>
              <w:gridCol w:w="1700"/>
              <w:gridCol w:w="1676"/>
              <w:gridCol w:w="1677"/>
              <w:gridCol w:w="1677"/>
              <w:gridCol w:w="1677"/>
              <w:gridCol w:w="1758"/>
            </w:tblGrid>
            <w:tr>
              <w:tblPrEx>
                <w:tblCellMar>
                  <w:top w:w="0" w:type="dxa"/>
                  <w:left w:w="108" w:type="dxa"/>
                  <w:bottom w:w="0" w:type="dxa"/>
                  <w:right w:w="108" w:type="dxa"/>
                </w:tblCellMar>
              </w:tblPrEx>
              <w:trPr>
                <w:trHeight w:val="453"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0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676"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167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511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0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0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6"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67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结转</w:t>
                  </w:r>
                </w:p>
              </w:tc>
              <w:tc>
                <w:tcPr>
                  <w:tcW w:w="175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结余</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67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677"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67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5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ascii="仿宋_GB2312" w:hAnsi="宋体" w:eastAsia="仿宋_GB2312"/>
                <w:sz w:val="22"/>
              </w:rPr>
            </w:pPr>
            <w:r>
              <w:rPr>
                <w:rFonts w:hint="eastAsia" w:ascii="仿宋_GB2312" w:hAnsi="宋体" w:eastAsia="仿宋_GB2312"/>
                <w:sz w:val="22"/>
              </w:rPr>
              <w:t>注：本表反映部门本年度国有资本经营预算财政拨款收入、支出及结转和结余情况。</w:t>
            </w:r>
          </w:p>
          <w:p>
            <w:pPr>
              <w:rPr>
                <w:rFonts w:ascii="华文中宋" w:hAnsi="华文中宋" w:eastAsia="华文中宋" w:cs="宋体"/>
                <w:kern w:val="0"/>
                <w:sz w:val="32"/>
                <w:szCs w:val="32"/>
              </w:rPr>
            </w:pPr>
            <w:r>
              <w:rPr>
                <w:rFonts w:hint="eastAsia" w:ascii="仿宋_GB2312" w:hAnsi="仿宋_GB2312" w:eastAsia="仿宋_GB2312" w:cs="仿宋_GB2312"/>
                <w:kern w:val="0"/>
                <w:sz w:val="22"/>
                <w:szCs w:val="22"/>
              </w:rPr>
              <w:t>本部门没有国有资本经营预算收入，也没有使用国有资本经营预算安排的支出，故本表无数据。</w:t>
            </w:r>
          </w:p>
        </w:tc>
      </w:tr>
    </w:tbl>
    <w:p>
      <w:pPr>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第三部分</w:t>
      </w:r>
    </w:p>
    <w:p>
      <w:pPr>
        <w:jc w:val="center"/>
        <w:rPr>
          <w:rFonts w:ascii="方正小标宋简体" w:eastAsia="方正小标宋简体"/>
          <w:spacing w:val="60"/>
          <w:sz w:val="42"/>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2020年度部门决算情况说明</w:t>
      </w:r>
    </w:p>
    <w:p>
      <w:pPr>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2020年度收、支总计</w:t>
      </w:r>
      <w:r>
        <w:rPr>
          <w:rFonts w:hint="eastAsia" w:ascii="仿宋_GB2312" w:eastAsia="仿宋_GB2312"/>
          <w:sz w:val="32"/>
          <w:szCs w:val="32"/>
          <w:lang w:val="en-US" w:eastAsia="zh-CN"/>
        </w:rPr>
        <w:t>393.5</w:t>
      </w:r>
      <w:r>
        <w:rPr>
          <w:rFonts w:hint="eastAsia" w:ascii="仿宋_GB2312" w:eastAsia="仿宋_GB2312"/>
          <w:sz w:val="32"/>
          <w:szCs w:val="32"/>
        </w:rPr>
        <w:t>万元。</w:t>
      </w:r>
      <w:r>
        <w:rPr>
          <w:rFonts w:hint="eastAsia" w:ascii="仿宋_GB2312" w:eastAsia="仿宋_GB2312"/>
          <w:sz w:val="32"/>
          <w:szCs w:val="32"/>
          <w:lang w:val="en-US" w:eastAsia="zh-CN"/>
        </w:rPr>
        <w:t>济宁市水产技术推广站于2020年成立并进行财务核算，无2019年数据。</w:t>
      </w:r>
    </w:p>
    <w:p>
      <w:pPr>
        <w:ind w:firstLine="640" w:firstLineChars="200"/>
        <w:rPr>
          <w:rFonts w:ascii="黑体" w:hAnsi="黑体" w:eastAsia="黑体"/>
          <w:sz w:val="32"/>
          <w:szCs w:val="32"/>
        </w:rPr>
      </w:pPr>
      <w:r>
        <w:rPr>
          <w:rFonts w:hint="eastAsia" w:ascii="黑体" w:hAnsi="黑体" w:eastAsia="黑体"/>
          <w:sz w:val="32"/>
          <w:szCs w:val="32"/>
        </w:rPr>
        <w:t>二、收入决算情况说明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本年收入合计 </w:t>
      </w:r>
      <w:r>
        <w:rPr>
          <w:rFonts w:hint="eastAsia" w:ascii="仿宋_GB2312" w:eastAsia="仿宋_GB2312"/>
          <w:sz w:val="32"/>
          <w:szCs w:val="32"/>
          <w:lang w:val="en-US" w:eastAsia="zh-CN"/>
        </w:rPr>
        <w:t>227.33</w:t>
      </w:r>
      <w:r>
        <w:rPr>
          <w:rFonts w:hint="eastAsia" w:ascii="仿宋_GB2312" w:eastAsia="仿宋_GB2312"/>
          <w:sz w:val="32"/>
          <w:szCs w:val="32"/>
        </w:rPr>
        <w:t>万元，其中：</w:t>
      </w:r>
      <w:r>
        <w:rPr>
          <w:rFonts w:hint="eastAsia" w:ascii="仿宋_GB2312" w:eastAsia="仿宋_GB2312"/>
          <w:sz w:val="32"/>
          <w:szCs w:val="32"/>
          <w:lang w:val="en-US" w:eastAsia="zh-CN"/>
        </w:rPr>
        <w:t>事业运行</w:t>
      </w:r>
      <w:r>
        <w:rPr>
          <w:rFonts w:hint="eastAsia" w:ascii="仿宋_GB2312" w:eastAsia="仿宋_GB2312"/>
          <w:sz w:val="32"/>
          <w:szCs w:val="32"/>
        </w:rPr>
        <w:t>收入</w:t>
      </w:r>
      <w:r>
        <w:rPr>
          <w:rFonts w:hint="eastAsia" w:ascii="仿宋_GB2312" w:eastAsia="仿宋_GB2312"/>
          <w:sz w:val="32"/>
          <w:szCs w:val="32"/>
          <w:lang w:val="en-US" w:eastAsia="zh-CN"/>
        </w:rPr>
        <w:t>167.33</w:t>
      </w:r>
      <w:r>
        <w:rPr>
          <w:rFonts w:hint="eastAsia" w:ascii="仿宋_GB2312" w:eastAsia="仿宋_GB2312"/>
          <w:sz w:val="32"/>
          <w:szCs w:val="32"/>
        </w:rPr>
        <w:t>万元，占</w:t>
      </w:r>
      <w:r>
        <w:rPr>
          <w:rFonts w:hint="eastAsia" w:ascii="仿宋_GB2312" w:eastAsia="仿宋_GB2312"/>
          <w:sz w:val="32"/>
          <w:szCs w:val="32"/>
          <w:lang w:val="en-US" w:eastAsia="zh-CN"/>
        </w:rPr>
        <w:t>73.61</w:t>
      </w:r>
      <w:r>
        <w:rPr>
          <w:rFonts w:hint="eastAsia" w:ascii="仿宋_GB2312" w:eastAsia="仿宋_GB2312"/>
          <w:sz w:val="32"/>
          <w:szCs w:val="32"/>
        </w:rPr>
        <w:t>%；</w:t>
      </w:r>
      <w:r>
        <w:rPr>
          <w:rFonts w:hint="eastAsia" w:ascii="仿宋_GB2312" w:eastAsia="仿宋_GB2312"/>
          <w:sz w:val="32"/>
          <w:szCs w:val="32"/>
          <w:lang w:val="en-US" w:eastAsia="zh-CN"/>
        </w:rPr>
        <w:t>成品油价格改革对渔业的补贴</w:t>
      </w:r>
      <w:r>
        <w:rPr>
          <w:rFonts w:hint="eastAsia" w:ascii="仿宋_GB2312" w:eastAsia="仿宋_GB2312"/>
          <w:sz w:val="32"/>
          <w:szCs w:val="32"/>
        </w:rPr>
        <w:t>收入</w:t>
      </w:r>
      <w:r>
        <w:rPr>
          <w:rFonts w:hint="eastAsia" w:ascii="仿宋_GB2312" w:eastAsia="仿宋_GB2312"/>
          <w:sz w:val="32"/>
          <w:szCs w:val="32"/>
          <w:lang w:val="en-US" w:eastAsia="zh-CN"/>
        </w:rPr>
        <w:t>60</w:t>
      </w:r>
      <w:r>
        <w:rPr>
          <w:rFonts w:hint="eastAsia" w:ascii="仿宋_GB2312" w:eastAsia="仿宋_GB2312"/>
          <w:sz w:val="32"/>
          <w:szCs w:val="32"/>
        </w:rPr>
        <w:t>万元，占</w:t>
      </w:r>
      <w:r>
        <w:rPr>
          <w:rFonts w:hint="eastAsia" w:ascii="仿宋_GB2312" w:eastAsia="仿宋_GB2312"/>
          <w:sz w:val="32"/>
          <w:szCs w:val="32"/>
          <w:lang w:val="en-US" w:eastAsia="zh-CN"/>
        </w:rPr>
        <w:t>26.39</w:t>
      </w:r>
      <w:r>
        <w:rPr>
          <w:rFonts w:hint="eastAsia" w:ascii="仿宋_GB2312" w:eastAsia="仿宋_GB2312"/>
          <w:sz w:val="32"/>
          <w:szCs w:val="32"/>
        </w:rPr>
        <w:t>%。</w:t>
      </w:r>
    </w:p>
    <w:p>
      <w:pPr>
        <w:ind w:firstLine="420" w:firstLineChars="200"/>
        <w:rPr>
          <w:rFonts w:ascii="仿宋_GB2312" w:eastAsia="仿宋_GB2312"/>
          <w:b/>
          <w:sz w:val="32"/>
          <w:szCs w:val="32"/>
        </w:rPr>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三、支出决算情况说明</w:t>
      </w:r>
    </w:p>
    <w:p>
      <w:pPr>
        <w:ind w:firstLine="640" w:firstLineChars="20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166.18</w:t>
      </w:r>
      <w:r>
        <w:rPr>
          <w:rFonts w:hint="eastAsia" w:ascii="仿宋_GB2312" w:eastAsia="仿宋_GB2312"/>
          <w:sz w:val="32"/>
          <w:szCs w:val="32"/>
        </w:rPr>
        <w:t>万元，其中：基本支出</w:t>
      </w:r>
      <w:r>
        <w:rPr>
          <w:rFonts w:hint="eastAsia" w:ascii="仿宋_GB2312" w:eastAsia="仿宋_GB2312"/>
          <w:sz w:val="32"/>
          <w:szCs w:val="32"/>
          <w:lang w:val="en-US" w:eastAsia="zh-CN"/>
        </w:rPr>
        <w:t>166.18</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%；项目支出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ind w:firstLine="420" w:firstLineChars="200"/>
        <w:rPr>
          <w:rFonts w:ascii="仿宋_GB2312" w:eastAsia="仿宋_GB2312"/>
          <w:b/>
          <w:sz w:val="32"/>
          <w:szCs w:val="32"/>
        </w:rPr>
      </w:pPr>
      <w:r>
        <w:drawing>
          <wp:inline distT="0" distB="0" distL="114300" distR="114300">
            <wp:extent cx="4572000" cy="2743200"/>
            <wp:effectExtent l="4445" t="4445" r="14605" b="1460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2020年度财政拨款收、支总计</w:t>
      </w:r>
      <w:r>
        <w:rPr>
          <w:rFonts w:hint="eastAsia" w:ascii="仿宋_GB2312" w:eastAsia="仿宋_GB2312"/>
          <w:sz w:val="32"/>
          <w:szCs w:val="32"/>
          <w:lang w:val="en-US" w:eastAsia="zh-CN"/>
        </w:rPr>
        <w:t>393.5</w:t>
      </w:r>
      <w:r>
        <w:rPr>
          <w:rFonts w:hint="eastAsia" w:ascii="仿宋_GB2312" w:eastAsia="仿宋_GB2312"/>
          <w:sz w:val="32"/>
          <w:szCs w:val="32"/>
        </w:rPr>
        <w:t>万元。</w:t>
      </w:r>
      <w:r>
        <w:rPr>
          <w:rFonts w:hint="eastAsia" w:ascii="仿宋_GB2312" w:eastAsia="仿宋_GB2312"/>
          <w:sz w:val="32"/>
          <w:szCs w:val="32"/>
          <w:lang w:val="en-US" w:eastAsia="zh-CN"/>
        </w:rPr>
        <w:t>济宁市水产技术推广站于2020年成立并进行财务核算，无2019年数据。</w:t>
      </w:r>
    </w:p>
    <w:p>
      <w:pPr>
        <w:ind w:firstLine="640"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ind w:firstLine="640" w:firstLineChars="200"/>
        <w:rPr>
          <w:rFonts w:ascii="楷体_GB2312" w:eastAsia="楷体_GB2312"/>
          <w:sz w:val="32"/>
          <w:szCs w:val="32"/>
        </w:rPr>
      </w:pPr>
      <w:r>
        <w:rPr>
          <w:rFonts w:hint="eastAsia" w:ascii="楷体_GB2312" w:eastAsia="楷体_GB2312"/>
          <w:sz w:val="32"/>
          <w:szCs w:val="32"/>
        </w:rPr>
        <w:t>（一）一般公共预算财政拨款支出决算总体情况</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166.18</w:t>
      </w:r>
      <w:r>
        <w:rPr>
          <w:rFonts w:hint="eastAsia" w:ascii="仿宋_GB2312" w:eastAsia="仿宋_GB2312"/>
          <w:sz w:val="32"/>
          <w:szCs w:val="32"/>
        </w:rPr>
        <w:t>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val="en-US" w:eastAsia="zh-CN"/>
        </w:rPr>
        <w:t>济宁市水产技术推广站于2020年成立并进行财务核算，无2019年数据。</w:t>
      </w:r>
    </w:p>
    <w:p>
      <w:pPr>
        <w:ind w:firstLine="640" w:firstLineChars="200"/>
        <w:rPr>
          <w:rFonts w:ascii="楷体_GB2312" w:eastAsia="楷体_GB2312"/>
          <w:sz w:val="32"/>
          <w:szCs w:val="32"/>
        </w:rPr>
      </w:pPr>
      <w:r>
        <w:rPr>
          <w:rFonts w:hint="eastAsia" w:ascii="楷体_GB2312" w:eastAsia="楷体_GB2312"/>
          <w:sz w:val="32"/>
          <w:szCs w:val="32"/>
        </w:rPr>
        <w:t>（二）一般公共预算财政拨款支出决算结构情况</w:t>
      </w:r>
    </w:p>
    <w:p>
      <w:pPr>
        <w:ind w:firstLine="640" w:firstLineChars="200"/>
        <w:rPr>
          <w:rFonts w:hint="eastAsia"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166.18</w:t>
      </w:r>
      <w:r>
        <w:rPr>
          <w:rFonts w:hint="eastAsia" w:ascii="仿宋_GB2312" w:eastAsia="仿宋_GB2312"/>
          <w:sz w:val="32"/>
          <w:szCs w:val="32"/>
        </w:rPr>
        <w:t>万元，主要用于以下方面：</w:t>
      </w:r>
      <w:r>
        <w:rPr>
          <w:rFonts w:hint="eastAsia" w:ascii="仿宋_GB2312" w:eastAsia="仿宋_GB2312"/>
          <w:sz w:val="32"/>
          <w:szCs w:val="32"/>
          <w:lang w:val="en-US" w:eastAsia="zh-CN"/>
        </w:rPr>
        <w:t>农业农村事业运行</w:t>
      </w:r>
      <w:r>
        <w:rPr>
          <w:rFonts w:hint="eastAsia" w:ascii="仿宋_GB2312" w:eastAsia="仿宋_GB2312"/>
          <w:sz w:val="32"/>
          <w:szCs w:val="32"/>
        </w:rPr>
        <w:t>支出</w:t>
      </w:r>
      <w:r>
        <w:rPr>
          <w:rFonts w:hint="eastAsia" w:ascii="仿宋_GB2312" w:eastAsia="仿宋_GB2312"/>
          <w:sz w:val="32"/>
          <w:szCs w:val="32"/>
          <w:lang w:val="en-US" w:eastAsia="zh-CN"/>
        </w:rPr>
        <w:t>166.18</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420" w:firstLineChars="200"/>
        <w:rPr>
          <w:rFonts w:ascii="仿宋_GB2312" w:eastAsia="仿宋_GB2312"/>
          <w:b/>
          <w:sz w:val="32"/>
          <w:szCs w:val="32"/>
        </w:rPr>
      </w:pPr>
      <w:r>
        <w:drawing>
          <wp:inline distT="0" distB="0" distL="114300" distR="114300">
            <wp:extent cx="4572000" cy="2743200"/>
            <wp:effectExtent l="4445" t="4445" r="14605" b="1460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40" w:firstLineChars="200"/>
        <w:rPr>
          <w:rFonts w:ascii="楷体_GB2312" w:eastAsia="楷体_GB2312"/>
          <w:sz w:val="32"/>
          <w:szCs w:val="32"/>
        </w:rPr>
      </w:pPr>
      <w:r>
        <w:rPr>
          <w:rFonts w:hint="eastAsia" w:ascii="楷体_GB2312" w:eastAsia="楷体_GB2312"/>
          <w:sz w:val="32"/>
          <w:szCs w:val="32"/>
        </w:rPr>
        <w:t>（三）一般公共预算财政拨款支出决算具体情况</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167.33</w:t>
      </w:r>
      <w:r>
        <w:rPr>
          <w:rFonts w:hint="eastAsia" w:ascii="仿宋_GB2312" w:eastAsia="仿宋_GB2312"/>
          <w:sz w:val="32"/>
          <w:szCs w:val="32"/>
        </w:rPr>
        <w:t>万元，支出决算为</w:t>
      </w:r>
      <w:r>
        <w:rPr>
          <w:rFonts w:hint="eastAsia" w:ascii="仿宋_GB2312" w:eastAsia="仿宋_GB2312"/>
          <w:sz w:val="32"/>
          <w:szCs w:val="32"/>
          <w:lang w:val="en-US" w:eastAsia="zh-CN"/>
        </w:rPr>
        <w:t>166.18</w:t>
      </w:r>
      <w:r>
        <w:rPr>
          <w:rFonts w:hint="eastAsia" w:ascii="仿宋_GB2312" w:eastAsia="仿宋_GB2312"/>
          <w:sz w:val="32"/>
          <w:szCs w:val="32"/>
        </w:rPr>
        <w:t>万元，完成年初预算的</w:t>
      </w:r>
      <w:r>
        <w:rPr>
          <w:rFonts w:hint="eastAsia" w:ascii="仿宋_GB2312" w:eastAsia="仿宋_GB2312"/>
          <w:sz w:val="32"/>
          <w:szCs w:val="32"/>
          <w:lang w:val="en-US" w:eastAsia="zh-CN"/>
        </w:rPr>
        <w:t>99.31</w:t>
      </w:r>
      <w:r>
        <w:rPr>
          <w:rFonts w:hint="eastAsia" w:ascii="仿宋_GB2312" w:eastAsia="仿宋_GB2312"/>
          <w:sz w:val="32"/>
          <w:szCs w:val="32"/>
        </w:rPr>
        <w:t>%。决算数大于与年初预算基本持平。</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农林水支出</w:t>
      </w:r>
      <w:r>
        <w:rPr>
          <w:rFonts w:hint="eastAsia" w:ascii="仿宋_GB2312" w:eastAsia="仿宋_GB2312"/>
          <w:sz w:val="32"/>
          <w:szCs w:val="32"/>
        </w:rPr>
        <w:t>。主要反映用于</w:t>
      </w:r>
      <w:r>
        <w:rPr>
          <w:rFonts w:hint="eastAsia" w:ascii="仿宋_GB2312" w:eastAsia="仿宋_GB2312"/>
          <w:sz w:val="32"/>
          <w:szCs w:val="32"/>
          <w:lang w:val="en-US" w:eastAsia="zh-CN"/>
        </w:rPr>
        <w:t>农业农村事业运行</w:t>
      </w:r>
      <w:r>
        <w:rPr>
          <w:rFonts w:hint="eastAsia" w:ascii="仿宋_GB2312" w:eastAsia="仿宋_GB2312"/>
          <w:sz w:val="32"/>
          <w:szCs w:val="32"/>
        </w:rPr>
        <w:t>支出。年初预算为</w:t>
      </w:r>
      <w:r>
        <w:rPr>
          <w:rFonts w:hint="eastAsia" w:ascii="仿宋_GB2312" w:eastAsia="仿宋_GB2312"/>
          <w:sz w:val="32"/>
          <w:szCs w:val="32"/>
          <w:lang w:val="en-US" w:eastAsia="zh-CN"/>
        </w:rPr>
        <w:t>167.33</w:t>
      </w:r>
      <w:r>
        <w:rPr>
          <w:rFonts w:hint="eastAsia" w:ascii="仿宋_GB2312" w:eastAsia="仿宋_GB2312"/>
          <w:sz w:val="32"/>
          <w:szCs w:val="32"/>
        </w:rPr>
        <w:t>万元，支出决算为</w:t>
      </w:r>
      <w:r>
        <w:rPr>
          <w:rFonts w:hint="eastAsia" w:ascii="仿宋_GB2312" w:eastAsia="仿宋_GB2312"/>
          <w:sz w:val="32"/>
          <w:szCs w:val="32"/>
          <w:lang w:val="en-US" w:eastAsia="zh-CN"/>
        </w:rPr>
        <w:t>166.18</w:t>
      </w:r>
      <w:r>
        <w:rPr>
          <w:rFonts w:hint="eastAsia" w:ascii="仿宋_GB2312" w:eastAsia="仿宋_GB2312"/>
          <w:sz w:val="32"/>
          <w:szCs w:val="32"/>
        </w:rPr>
        <w:t>万元，完成年初预算的</w:t>
      </w:r>
      <w:r>
        <w:rPr>
          <w:rFonts w:hint="eastAsia" w:ascii="仿宋_GB2312" w:eastAsia="仿宋_GB2312"/>
          <w:sz w:val="32"/>
          <w:szCs w:val="32"/>
          <w:lang w:val="en-US" w:eastAsia="zh-CN"/>
        </w:rPr>
        <w:t>99.31</w:t>
      </w:r>
      <w:r>
        <w:rPr>
          <w:rFonts w:hint="eastAsia" w:ascii="仿宋_GB2312" w:eastAsia="仿宋_GB2312"/>
          <w:sz w:val="32"/>
          <w:szCs w:val="32"/>
        </w:rPr>
        <w:t>%。决算数与年初预算基本持平。</w:t>
      </w:r>
    </w:p>
    <w:p>
      <w:pPr>
        <w:ind w:firstLine="640" w:firstLineChars="200"/>
        <w:rPr>
          <w:rFonts w:ascii="黑体" w:hAnsi="黑体" w:eastAsia="黑体"/>
          <w:sz w:val="32"/>
          <w:szCs w:val="32"/>
        </w:rPr>
      </w:pPr>
      <w:r>
        <w:rPr>
          <w:rFonts w:hint="eastAsia" w:ascii="黑体" w:hAnsi="黑体" w:eastAsia="黑体"/>
          <w:sz w:val="32"/>
          <w:szCs w:val="32"/>
        </w:rPr>
        <w:t>六、一般公共预算财政拨款基本支出决算情况说明</w:t>
      </w:r>
    </w:p>
    <w:p>
      <w:pPr>
        <w:ind w:firstLine="640" w:firstLineChars="200"/>
        <w:rPr>
          <w:rFonts w:ascii="仿宋_GB2312" w:eastAsia="仿宋_GB2312"/>
          <w:sz w:val="32"/>
          <w:szCs w:val="32"/>
        </w:rPr>
      </w:pPr>
      <w:r>
        <w:rPr>
          <w:rFonts w:hint="eastAsia" w:ascii="仿宋_GB2312" w:eastAsia="仿宋_GB2312"/>
          <w:sz w:val="32"/>
          <w:szCs w:val="32"/>
        </w:rPr>
        <w:t>2020年度一般公共预算财政拨款基本支出决算</w:t>
      </w:r>
      <w:r>
        <w:rPr>
          <w:rFonts w:hint="eastAsia" w:ascii="仿宋_GB2312" w:eastAsia="仿宋_GB2312"/>
          <w:sz w:val="32"/>
          <w:szCs w:val="32"/>
          <w:lang w:val="en-US" w:eastAsia="zh-CN"/>
        </w:rPr>
        <w:t>166.18</w:t>
      </w:r>
      <w:r>
        <w:rPr>
          <w:rFonts w:hint="eastAsia" w:ascii="仿宋_GB2312" w:eastAsia="仿宋_GB2312"/>
          <w:sz w:val="32"/>
          <w:szCs w:val="32"/>
        </w:rPr>
        <w:t>万元，包括人员经费和公用经费，支出具体情况如下：</w:t>
      </w:r>
    </w:p>
    <w:p>
      <w:pPr>
        <w:ind w:firstLine="640" w:firstLineChars="200"/>
        <w:rPr>
          <w:rFonts w:hint="eastAsia" w:ascii="仿宋_GB2312" w:eastAsia="仿宋_GB2312"/>
          <w:sz w:val="32"/>
          <w:szCs w:val="32"/>
        </w:rPr>
      </w:pPr>
      <w:r>
        <w:rPr>
          <w:rFonts w:hint="eastAsia" w:ascii="仿宋_GB2312" w:eastAsia="仿宋_GB2312"/>
          <w:sz w:val="32"/>
          <w:szCs w:val="32"/>
        </w:rPr>
        <w:t>人员经费</w:t>
      </w:r>
      <w:r>
        <w:rPr>
          <w:rFonts w:hint="eastAsia" w:ascii="仿宋_GB2312" w:eastAsia="仿宋_GB2312"/>
          <w:sz w:val="32"/>
          <w:szCs w:val="32"/>
          <w:lang w:val="en-US" w:eastAsia="zh-CN"/>
        </w:rPr>
        <w:t>163.26</w:t>
      </w:r>
      <w:r>
        <w:rPr>
          <w:rFonts w:hint="eastAsia" w:ascii="仿宋_GB2312" w:eastAsia="仿宋_GB2312"/>
          <w:sz w:val="32"/>
          <w:szCs w:val="32"/>
        </w:rPr>
        <w:t>万元，主要包括：基本工资、津贴补贴、奖金</w:t>
      </w:r>
      <w:r>
        <w:rPr>
          <w:rFonts w:hint="eastAsia" w:ascii="仿宋_GB2312" w:eastAsia="仿宋_GB2312"/>
          <w:sz w:val="32"/>
          <w:szCs w:val="32"/>
          <w:lang w:eastAsia="zh-CN"/>
        </w:rPr>
        <w:t>、</w:t>
      </w:r>
      <w:r>
        <w:rPr>
          <w:rFonts w:hint="eastAsia" w:ascii="仿宋_GB2312" w:eastAsia="仿宋_GB2312"/>
          <w:sz w:val="32"/>
          <w:szCs w:val="32"/>
          <w:lang w:val="en-US" w:eastAsia="zh-CN"/>
        </w:rPr>
        <w:t>绩效工资、机关事业单位基本养老保险费、职工基本医疗保险缴费、住房公积金、生活补助</w:t>
      </w:r>
      <w:r>
        <w:rPr>
          <w:rFonts w:hint="eastAsia" w:ascii="仿宋_GB2312" w:eastAsia="仿宋_GB2312"/>
          <w:sz w:val="32"/>
          <w:szCs w:val="32"/>
        </w:rPr>
        <w:t>等。</w:t>
      </w:r>
    </w:p>
    <w:p>
      <w:pPr>
        <w:ind w:firstLine="640" w:firstLineChars="200"/>
        <w:rPr>
          <w:rFonts w:hint="eastAsia" w:ascii="仿宋_GB2312" w:eastAsia="仿宋_GB2312"/>
          <w:sz w:val="32"/>
          <w:szCs w:val="32"/>
        </w:rPr>
      </w:pPr>
      <w:r>
        <w:rPr>
          <w:rFonts w:hint="eastAsia" w:ascii="仿宋_GB2312" w:eastAsia="仿宋_GB2312"/>
          <w:sz w:val="32"/>
          <w:szCs w:val="32"/>
        </w:rPr>
        <w:t>公用经费</w:t>
      </w:r>
      <w:r>
        <w:rPr>
          <w:rFonts w:hint="eastAsia" w:ascii="仿宋_GB2312" w:eastAsia="仿宋_GB2312"/>
          <w:sz w:val="32"/>
          <w:szCs w:val="32"/>
          <w:lang w:val="en-US" w:eastAsia="zh-CN"/>
        </w:rPr>
        <w:t>2.91</w:t>
      </w:r>
      <w:r>
        <w:rPr>
          <w:rFonts w:hint="eastAsia" w:ascii="仿宋_GB2312" w:eastAsia="仿宋_GB2312"/>
          <w:sz w:val="32"/>
          <w:szCs w:val="32"/>
        </w:rPr>
        <w:t>万元，主要包括：</w:t>
      </w:r>
      <w:r>
        <w:rPr>
          <w:rFonts w:hint="eastAsia" w:ascii="仿宋_GB2312" w:eastAsia="仿宋_GB2312"/>
          <w:sz w:val="32"/>
          <w:szCs w:val="32"/>
          <w:lang w:val="en-US" w:eastAsia="zh-CN"/>
        </w:rPr>
        <w:t>差旅费</w:t>
      </w:r>
      <w:r>
        <w:rPr>
          <w:rFonts w:hint="eastAsia" w:ascii="仿宋_GB2312" w:eastAsia="仿宋_GB2312"/>
          <w:sz w:val="32"/>
          <w:szCs w:val="32"/>
        </w:rPr>
        <w:t>、</w:t>
      </w:r>
      <w:r>
        <w:rPr>
          <w:rFonts w:hint="eastAsia" w:ascii="仿宋_GB2312" w:eastAsia="仿宋_GB2312"/>
          <w:sz w:val="32"/>
          <w:szCs w:val="32"/>
          <w:lang w:val="en-US" w:eastAsia="zh-CN"/>
        </w:rPr>
        <w:t>培训费</w:t>
      </w:r>
      <w:r>
        <w:rPr>
          <w:rFonts w:hint="eastAsia" w:ascii="仿宋_GB2312" w:eastAsia="仿宋_GB2312"/>
          <w:sz w:val="32"/>
          <w:szCs w:val="32"/>
        </w:rPr>
        <w:t>、</w:t>
      </w:r>
      <w:r>
        <w:rPr>
          <w:rFonts w:hint="eastAsia" w:ascii="仿宋_GB2312" w:eastAsia="仿宋_GB2312"/>
          <w:sz w:val="32"/>
          <w:szCs w:val="32"/>
          <w:lang w:val="en-US" w:eastAsia="zh-CN"/>
        </w:rPr>
        <w:t>工会经费</w:t>
      </w:r>
      <w:r>
        <w:rPr>
          <w:rFonts w:hint="eastAsia" w:ascii="仿宋_GB2312" w:eastAsia="仿宋_GB2312"/>
          <w:sz w:val="32"/>
          <w:szCs w:val="32"/>
        </w:rPr>
        <w:t>等。</w:t>
      </w:r>
    </w:p>
    <w:p>
      <w:pPr>
        <w:ind w:firstLine="640"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（一）“三公”经费支出决算总体情况及增减变动原因</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本部门无一般公共预算安排的“三公”经费支出。</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（二）“三公”经费支出决算具体情况</w:t>
      </w:r>
    </w:p>
    <w:p>
      <w:pPr>
        <w:ind w:firstLine="640" w:firstLineChars="200"/>
        <w:rPr>
          <w:rFonts w:ascii="仿宋_GB2312" w:eastAsia="仿宋_GB2312"/>
          <w:b/>
          <w:sz w:val="32"/>
          <w:szCs w:val="32"/>
          <w:highlight w:val="none"/>
        </w:rPr>
      </w:pPr>
      <w:r>
        <w:rPr>
          <w:rFonts w:hint="eastAsia" w:ascii="仿宋_GB2312" w:eastAsia="仿宋_GB2312"/>
          <w:sz w:val="32"/>
          <w:szCs w:val="32"/>
          <w:highlight w:val="none"/>
        </w:rPr>
        <w:t>1、因公出国（境）费决算数为0万元，因公出国（境）团组0个,累计0人次。</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2、公务用车购置及运行维护费决算数为0万元，其中：公务用车购置费支出0万元，2020年使用财政拨款购置公务用车0辆；公务用车运行维护费0万元，2020年财政拨款开支运行维护费的公务用车保有量为0辆。</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3、公务接待费决算数为0万元，。其中：国内接待费0万元，共计接待0批次、0人次（含外事接待0批次、0人次）；国（境）外接待费0万元，共计接待0批次、0人次。）</w:t>
      </w:r>
    </w:p>
    <w:p>
      <w:pPr>
        <w:ind w:firstLine="640" w:firstLineChars="200"/>
        <w:rPr>
          <w:rFonts w:ascii="黑体" w:hAnsi="黑体" w:eastAsia="黑体"/>
          <w:sz w:val="32"/>
          <w:szCs w:val="32"/>
        </w:rPr>
      </w:pPr>
      <w:r>
        <w:rPr>
          <w:rFonts w:hint="eastAsia" w:ascii="黑体" w:hAnsi="黑体" w:eastAsia="黑体"/>
          <w:sz w:val="32"/>
          <w:szCs w:val="32"/>
        </w:rPr>
        <w:t>八、政府性基金预算财政拨款收入支出决算情况说明</w:t>
      </w:r>
    </w:p>
    <w:p>
      <w:pPr>
        <w:ind w:firstLine="640" w:firstLineChars="200"/>
        <w:rPr>
          <w:rFonts w:ascii="仿宋_GB2312" w:eastAsia="仿宋_GB2312"/>
          <w:b w:val="0"/>
          <w:bCs/>
          <w:sz w:val="32"/>
          <w:szCs w:val="32"/>
          <w:highlight w:val="none"/>
        </w:rPr>
      </w:pPr>
      <w:r>
        <w:rPr>
          <w:rFonts w:hint="eastAsia" w:ascii="仿宋_GB2312" w:eastAsia="仿宋_GB2312"/>
          <w:b w:val="0"/>
          <w:bCs/>
          <w:sz w:val="32"/>
          <w:szCs w:val="32"/>
          <w:highlight w:val="none"/>
        </w:rPr>
        <w:t>本部门没有政府性基金财政拨款收支。</w:t>
      </w:r>
    </w:p>
    <w:p>
      <w:pPr>
        <w:ind w:firstLine="640" w:firstLineChars="200"/>
        <w:rPr>
          <w:rFonts w:ascii="黑体" w:hAnsi="黑体" w:eastAsia="黑体"/>
          <w:sz w:val="32"/>
          <w:szCs w:val="32"/>
        </w:rPr>
      </w:pPr>
      <w:r>
        <w:rPr>
          <w:rFonts w:hint="eastAsia" w:ascii="黑体" w:hAnsi="黑体" w:eastAsia="黑体"/>
          <w:sz w:val="32"/>
          <w:szCs w:val="32"/>
        </w:rPr>
        <w:t>九、国有资本经营预算财政拨款收入支出决算情况说明</w:t>
      </w:r>
    </w:p>
    <w:p>
      <w:pPr>
        <w:ind w:firstLine="640" w:firstLineChars="200"/>
        <w:rPr>
          <w:rFonts w:ascii="仿宋_GB2312" w:eastAsia="仿宋_GB2312"/>
          <w:b w:val="0"/>
          <w:bCs/>
          <w:sz w:val="32"/>
          <w:szCs w:val="32"/>
          <w:highlight w:val="none"/>
        </w:rPr>
      </w:pPr>
      <w:r>
        <w:rPr>
          <w:rFonts w:hint="eastAsia" w:ascii="仿宋_GB2312" w:eastAsia="仿宋_GB2312"/>
          <w:b w:val="0"/>
          <w:bCs/>
          <w:sz w:val="32"/>
          <w:szCs w:val="32"/>
          <w:highlight w:val="none"/>
        </w:rPr>
        <w:t>本部门没有国有资本经营预算财政拨款收支。</w:t>
      </w:r>
    </w:p>
    <w:p>
      <w:pPr>
        <w:ind w:firstLine="640" w:firstLineChars="200"/>
        <w:rPr>
          <w:rFonts w:ascii="黑体" w:hAnsi="黑体" w:eastAsia="黑体"/>
          <w:sz w:val="32"/>
          <w:szCs w:val="32"/>
        </w:rPr>
      </w:pPr>
      <w:r>
        <w:rPr>
          <w:rFonts w:hint="eastAsia" w:ascii="黑体" w:hAnsi="黑体" w:eastAsia="黑体"/>
          <w:sz w:val="32"/>
          <w:szCs w:val="32"/>
        </w:rPr>
        <w:t>十、重要事项情况说明</w:t>
      </w:r>
    </w:p>
    <w:p>
      <w:pPr>
        <w:ind w:firstLine="640" w:firstLineChars="200"/>
        <w:rPr>
          <w:rFonts w:ascii="楷体_GB2312" w:eastAsia="楷体_GB2312"/>
          <w:sz w:val="32"/>
          <w:szCs w:val="32"/>
        </w:rPr>
      </w:pPr>
      <w:r>
        <w:rPr>
          <w:rFonts w:hint="eastAsia" w:ascii="楷体_GB2312" w:eastAsia="楷体_GB2312"/>
          <w:sz w:val="32"/>
          <w:szCs w:val="32"/>
        </w:rPr>
        <w:t>（一）机关运行经费支出情况</w:t>
      </w:r>
    </w:p>
    <w:p>
      <w:pPr>
        <w:ind w:firstLine="640" w:firstLineChars="200"/>
        <w:rPr>
          <w:rFonts w:ascii="仿宋_GB2312" w:eastAsia="仿宋_GB2312"/>
          <w:b/>
          <w:sz w:val="32"/>
          <w:szCs w:val="32"/>
        </w:rPr>
      </w:pPr>
      <w:r>
        <w:rPr>
          <w:rFonts w:hint="eastAsia" w:ascii="仿宋_GB2312" w:eastAsia="仿宋_GB2312"/>
          <w:b w:val="0"/>
          <w:bCs/>
          <w:sz w:val="32"/>
          <w:szCs w:val="32"/>
        </w:rPr>
        <w:t>本部门所属预算单位全部为事业单位，无机关运行经费支出。</w:t>
      </w:r>
    </w:p>
    <w:p>
      <w:pPr>
        <w:ind w:firstLine="640" w:firstLineChars="200"/>
        <w:rPr>
          <w:rFonts w:ascii="楷体_GB2312" w:eastAsia="楷体_GB2312"/>
          <w:sz w:val="32"/>
          <w:szCs w:val="32"/>
        </w:rPr>
      </w:pPr>
      <w:r>
        <w:rPr>
          <w:rFonts w:hint="eastAsia" w:ascii="楷体_GB2312" w:eastAsia="楷体_GB2312"/>
          <w:sz w:val="32"/>
          <w:szCs w:val="32"/>
        </w:rPr>
        <w:t>（二）政府采购支出情况</w:t>
      </w:r>
    </w:p>
    <w:p>
      <w:pPr>
        <w:ind w:firstLine="640" w:firstLineChars="200"/>
        <w:rPr>
          <w:rFonts w:ascii="仿宋_GB2312" w:eastAsia="仿宋_GB2312"/>
          <w:b/>
          <w:sz w:val="32"/>
          <w:szCs w:val="32"/>
        </w:rPr>
      </w:pPr>
      <w:r>
        <w:rPr>
          <w:rFonts w:hint="eastAsia" w:ascii="仿宋_GB2312" w:hAnsi="宋体" w:eastAsia="仿宋_GB2312" w:cs="Courier New"/>
          <w:sz w:val="32"/>
          <w:szCs w:val="32"/>
        </w:rPr>
        <w:t>2020年度政府采购支出总额0万元，其中：政府采购货物支出0万元、政府采购工程支出0万元、政府采购服务支出0万元。授予中小企业合同金额0万元，其中：授予小微企业合同金额0万元。</w:t>
      </w:r>
    </w:p>
    <w:p>
      <w:pPr>
        <w:ind w:firstLine="640" w:firstLineChars="200"/>
        <w:rPr>
          <w:rFonts w:ascii="楷体_GB2312" w:eastAsia="楷体_GB2312"/>
          <w:sz w:val="32"/>
          <w:szCs w:val="32"/>
          <w:highlight w:val="yellow"/>
        </w:rPr>
      </w:pPr>
      <w:r>
        <w:rPr>
          <w:rFonts w:hint="eastAsia" w:ascii="楷体_GB2312" w:eastAsia="楷体_GB2312"/>
          <w:sz w:val="32"/>
          <w:szCs w:val="32"/>
        </w:rPr>
        <w:t>（三）国有资产占用情况</w:t>
      </w:r>
    </w:p>
    <w:p>
      <w:pPr>
        <w:ind w:firstLine="640" w:firstLineChars="200"/>
        <w:rPr>
          <w:rFonts w:ascii="仿宋_GB2312" w:hAnsi="宋体" w:eastAsia="仿宋_GB2312" w:cs="Courier New"/>
          <w:sz w:val="32"/>
          <w:szCs w:val="32"/>
          <w:highlight w:val="none"/>
        </w:rPr>
      </w:pPr>
      <w:r>
        <w:rPr>
          <w:rFonts w:hint="eastAsia" w:ascii="仿宋_GB2312" w:hAnsi="宋体" w:eastAsia="仿宋_GB2312" w:cs="Courier New"/>
          <w:sz w:val="32"/>
          <w:szCs w:val="32"/>
          <w:highlight w:val="none"/>
        </w:rPr>
        <w:t>截至2020年</w:t>
      </w:r>
      <w:r>
        <w:rPr>
          <w:rFonts w:ascii="仿宋_GB2312" w:hAnsi="宋体" w:eastAsia="仿宋_GB2312" w:cs="Courier New"/>
          <w:sz w:val="32"/>
          <w:szCs w:val="32"/>
          <w:highlight w:val="none"/>
        </w:rPr>
        <w:t>12</w:t>
      </w:r>
      <w:r>
        <w:rPr>
          <w:rFonts w:hint="eastAsia" w:ascii="仿宋_GB2312" w:hAnsi="宋体" w:eastAsia="仿宋_GB2312" w:cs="Courier New"/>
          <w:sz w:val="32"/>
          <w:szCs w:val="32"/>
          <w:highlight w:val="none"/>
        </w:rPr>
        <w:t>月</w:t>
      </w:r>
      <w:r>
        <w:rPr>
          <w:rFonts w:ascii="仿宋_GB2312" w:hAnsi="宋体" w:eastAsia="仿宋_GB2312" w:cs="Courier New"/>
          <w:sz w:val="32"/>
          <w:szCs w:val="32"/>
          <w:highlight w:val="none"/>
        </w:rPr>
        <w:t>31</w:t>
      </w:r>
      <w:r>
        <w:rPr>
          <w:rFonts w:hint="eastAsia" w:ascii="仿宋_GB2312" w:hAnsi="宋体" w:eastAsia="仿宋_GB2312" w:cs="Courier New"/>
          <w:sz w:val="32"/>
          <w:szCs w:val="32"/>
          <w:highlight w:val="none"/>
        </w:rPr>
        <w:t>日，部门（单位）共有车辆0辆，其中，符合规定的领导干部用车0辆、机要通信用车0辆、应急保障用车0辆、执法执勤用车0辆、特种专业技术用车0辆、其他用车0辆；单位价值</w:t>
      </w:r>
      <w:r>
        <w:rPr>
          <w:rFonts w:ascii="仿宋_GB2312" w:hAnsi="宋体" w:eastAsia="仿宋_GB2312" w:cs="Courier New"/>
          <w:sz w:val="32"/>
          <w:szCs w:val="32"/>
          <w:highlight w:val="none"/>
        </w:rPr>
        <w:t>50</w:t>
      </w:r>
      <w:r>
        <w:rPr>
          <w:rFonts w:hint="eastAsia" w:ascii="仿宋_GB2312" w:hAnsi="宋体" w:eastAsia="仿宋_GB2312" w:cs="Courier New"/>
          <w:sz w:val="32"/>
          <w:szCs w:val="32"/>
          <w:highlight w:val="none"/>
        </w:rPr>
        <w:t>万元以上通用设备0台（套）；单位价值</w:t>
      </w:r>
      <w:r>
        <w:rPr>
          <w:rFonts w:ascii="仿宋_GB2312" w:hAnsi="宋体" w:eastAsia="仿宋_GB2312" w:cs="Courier New"/>
          <w:sz w:val="32"/>
          <w:szCs w:val="32"/>
          <w:highlight w:val="none"/>
        </w:rPr>
        <w:t>100</w:t>
      </w:r>
      <w:r>
        <w:rPr>
          <w:rFonts w:hint="eastAsia" w:ascii="仿宋_GB2312" w:hAnsi="宋体" w:eastAsia="仿宋_GB2312" w:cs="Courier New"/>
          <w:sz w:val="32"/>
          <w:szCs w:val="32"/>
          <w:highlight w:val="none"/>
        </w:rPr>
        <w:t>万元以上专用设备0台（套）。</w:t>
      </w:r>
    </w:p>
    <w:p>
      <w:pPr>
        <w:numPr>
          <w:ilvl w:val="0"/>
          <w:numId w:val="1"/>
        </w:numPr>
        <w:ind w:firstLine="640" w:firstLineChars="200"/>
        <w:rPr>
          <w:rFonts w:hint="eastAsia" w:ascii="楷体_GB2312" w:eastAsia="楷体_GB2312"/>
          <w:sz w:val="32"/>
          <w:szCs w:val="32"/>
        </w:rPr>
      </w:pPr>
      <w:r>
        <w:rPr>
          <w:rFonts w:hint="eastAsia" w:ascii="楷体_GB2312" w:eastAsia="楷体_GB2312"/>
          <w:sz w:val="32"/>
          <w:szCs w:val="32"/>
        </w:rPr>
        <w:t>预算绩效情况</w:t>
      </w:r>
    </w:p>
    <w:p>
      <w:pPr>
        <w:numPr>
          <w:ilvl w:val="0"/>
          <w:numId w:val="2"/>
        </w:numPr>
        <w:ind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预算绩效管理工作开展情况。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b/>
          <w:bCs/>
          <w:kern w:val="0"/>
          <w:sz w:val="32"/>
          <w:szCs w:val="32"/>
        </w:rPr>
      </w:pPr>
      <w:r>
        <w:rPr>
          <w:rFonts w:hint="eastAsia" w:ascii="仿宋_GB2312" w:eastAsia="仿宋_GB2312"/>
          <w:sz w:val="32"/>
          <w:szCs w:val="32"/>
          <w:lang w:val="en-US" w:eastAsia="zh-CN"/>
        </w:rPr>
        <w:t>济宁市水产技术推广站无2020年预算自评项目。</w:t>
      </w:r>
    </w:p>
    <w:p>
      <w:pPr>
        <w:numPr>
          <w:ilvl w:val="0"/>
          <w:numId w:val="2"/>
        </w:numPr>
        <w:spacing w:line="600" w:lineRule="exact"/>
        <w:ind w:left="0" w:leftChars="0"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b/>
          <w:bCs/>
          <w:kern w:val="0"/>
          <w:sz w:val="32"/>
          <w:szCs w:val="32"/>
        </w:rPr>
      </w:pPr>
      <w:r>
        <w:rPr>
          <w:rFonts w:hint="eastAsia" w:ascii="仿宋_GB2312" w:eastAsia="仿宋_GB2312"/>
          <w:sz w:val="32"/>
          <w:szCs w:val="32"/>
          <w:lang w:val="en-US" w:eastAsia="zh-CN"/>
        </w:rPr>
        <w:t>济宁市水产技术推广站无2020年预算自评项目。</w:t>
      </w:r>
    </w:p>
    <w:p>
      <w:pPr>
        <w:numPr>
          <w:ilvl w:val="0"/>
          <w:numId w:val="2"/>
        </w:numPr>
        <w:spacing w:line="600" w:lineRule="exact"/>
        <w:ind w:left="0" w:leftChars="0"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部门评价项目绩效评价结果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济宁市水产技术推广站无2020年预算自评项目。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textAlignment w:val="auto"/>
        <w:rPr>
          <w:rFonts w:hint="eastAsia" w:ascii="仿宋_GB2312" w:eastAsia="仿宋_GB2312"/>
          <w:sz w:val="32"/>
          <w:szCs w:val="32"/>
          <w:lang w:val="en-US" w:eastAsia="zh-CN"/>
        </w:rPr>
      </w:pPr>
    </w:p>
    <w:p>
      <w:pPr>
        <w:rPr>
          <w:rFonts w:ascii="方正小标宋简体" w:eastAsia="方正小标宋简体"/>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名词解释</w:t>
      </w: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left"/>
        <w:rPr>
          <w:rFonts w:ascii="方正小标宋简体" w:eastAsia="方正小标宋简体"/>
          <w:spacing w:val="60"/>
          <w:sz w:val="32"/>
          <w:szCs w:val="32"/>
        </w:rPr>
      </w:pPr>
    </w:p>
    <w:p>
      <w:pPr>
        <w:jc w:val="left"/>
        <w:rPr>
          <w:rFonts w:ascii="方正小标宋简体" w:eastAsia="方正小标宋简体"/>
          <w:spacing w:val="60"/>
          <w:sz w:val="32"/>
          <w:szCs w:val="32"/>
        </w:rPr>
      </w:pPr>
    </w:p>
    <w:p>
      <w:pPr>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指单位从同级财政部门取得的财政预算资金。按现行管理制度，市级部门决算中反映的财政拨款包括一般公共预算财政拨款和政府性基金财政拨款。</w:t>
      </w:r>
    </w:p>
    <w:p>
      <w:pPr>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ind w:firstLine="640" w:firstLineChars="2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ind w:firstLine="640" w:firstLineChars="2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财政拨款结转和结余资金”“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指事业单位按照会计制度规定缴纳的所得税以及从非财政拨款结余或经营结余中提取的各类基金。</w:t>
      </w:r>
    </w:p>
    <w:p>
      <w:pPr>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指单位为保障其机构正常运转、完成日常工作任务而发生的人员支出和日常公用支出。</w:t>
      </w:r>
    </w:p>
    <w:p>
      <w:pPr>
        <w:ind w:firstLine="640" w:firstLineChars="2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ind w:firstLine="640" w:firstLineChars="200"/>
        <w:rPr>
          <w:rFonts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市级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643" w:firstLineChars="200"/>
        <w:rPr>
          <w:rFonts w:ascii="仿宋_GB2312" w:eastAsia="仿宋_GB2312"/>
          <w:b/>
          <w:sz w:val="32"/>
          <w:szCs w:val="32"/>
          <w:highlight w:val="lightGray"/>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第五部分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szCs w:val="32"/>
        </w:rPr>
        <w:sectPr>
          <w:pgSz w:w="11906" w:h="16838"/>
          <w:pgMar w:top="2098" w:right="1418" w:bottom="1871" w:left="1531" w:header="851" w:footer="992" w:gutter="0"/>
          <w:cols w:space="720" w:num="1"/>
          <w:docGrid w:type="lines" w:linePitch="312" w:charSpace="0"/>
        </w:sectPr>
      </w:pPr>
      <w:r>
        <w:rPr>
          <w:rFonts w:hint="eastAsia" w:ascii="方正小标宋简体" w:eastAsia="方正小标宋简体"/>
          <w:spacing w:val="60"/>
          <w:sz w:val="48"/>
        </w:rPr>
        <w:t xml:space="preserve">  附  件</w:t>
      </w:r>
    </w:p>
    <w:p>
      <w:pPr>
        <w:spacing w:line="600" w:lineRule="exact"/>
        <w:jc w:val="both"/>
        <w:rPr>
          <w:rFonts w:ascii="黑体" w:hAnsi="黑体" w:eastAsia="黑体" w:cs="黑体"/>
          <w:szCs w:val="32"/>
        </w:rPr>
      </w:pPr>
    </w:p>
    <w:p>
      <w:pPr>
        <w:tabs>
          <w:tab w:val="left" w:pos="5891"/>
        </w:tabs>
        <w:spacing w:line="580" w:lineRule="exact"/>
        <w:rPr>
          <w:rFonts w:ascii="黑体" w:hAnsi="黑体" w:eastAsia="黑体" w:cs="黑体"/>
          <w:szCs w:val="32"/>
        </w:rPr>
      </w:pP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4C5A5"/>
    <w:multiLevelType w:val="singleLevel"/>
    <w:tmpl w:val="A774C5A5"/>
    <w:lvl w:ilvl="0" w:tentative="0">
      <w:start w:val="4"/>
      <w:numFmt w:val="chineseCounting"/>
      <w:suff w:val="nothing"/>
      <w:lvlText w:val="（%1）"/>
      <w:lvlJc w:val="left"/>
      <w:rPr>
        <w:rFonts w:hint="eastAsia"/>
      </w:rPr>
    </w:lvl>
  </w:abstractNum>
  <w:abstractNum w:abstractNumId="1">
    <w:nsid w:val="4D8C9BBF"/>
    <w:multiLevelType w:val="singleLevel"/>
    <w:tmpl w:val="4D8C9BB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56F4A"/>
    <w:rsid w:val="010F4860"/>
    <w:rsid w:val="03291D1C"/>
    <w:rsid w:val="03E32EE2"/>
    <w:rsid w:val="05A517E5"/>
    <w:rsid w:val="072267A3"/>
    <w:rsid w:val="07887619"/>
    <w:rsid w:val="0A8B7B00"/>
    <w:rsid w:val="0B1D1DB5"/>
    <w:rsid w:val="0B427350"/>
    <w:rsid w:val="0F5D7712"/>
    <w:rsid w:val="15F86B0D"/>
    <w:rsid w:val="185E6A39"/>
    <w:rsid w:val="19480B67"/>
    <w:rsid w:val="1B662B9E"/>
    <w:rsid w:val="1BE63C5A"/>
    <w:rsid w:val="1D4622DA"/>
    <w:rsid w:val="27A30724"/>
    <w:rsid w:val="2A173CF3"/>
    <w:rsid w:val="2F4C0603"/>
    <w:rsid w:val="2F6C54A8"/>
    <w:rsid w:val="371F4B14"/>
    <w:rsid w:val="3B1C6227"/>
    <w:rsid w:val="3E60464C"/>
    <w:rsid w:val="42E04D38"/>
    <w:rsid w:val="44781E96"/>
    <w:rsid w:val="45EE42F9"/>
    <w:rsid w:val="4A890192"/>
    <w:rsid w:val="4BD56F4A"/>
    <w:rsid w:val="4DA14852"/>
    <w:rsid w:val="4F8C2AB2"/>
    <w:rsid w:val="54C45B2D"/>
    <w:rsid w:val="592C1EF9"/>
    <w:rsid w:val="5C48015F"/>
    <w:rsid w:val="5C717871"/>
    <w:rsid w:val="5D3D5BDA"/>
    <w:rsid w:val="60B8236E"/>
    <w:rsid w:val="61B20E45"/>
    <w:rsid w:val="62C61315"/>
    <w:rsid w:val="636709D0"/>
    <w:rsid w:val="63986BEB"/>
    <w:rsid w:val="66E0392E"/>
    <w:rsid w:val="6A7D2A61"/>
    <w:rsid w:val="6CC70AE5"/>
    <w:rsid w:val="7565615A"/>
    <w:rsid w:val="76DF3670"/>
    <w:rsid w:val="7B991E69"/>
    <w:rsid w:val="7BAA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[工作簿1]Sheet1!$B$8:$B$9</c:f>
              <c:strCache>
                <c:ptCount val="2"/>
                <c:pt idx="0">
                  <c:v>事业运行</c:v>
                </c:pt>
                <c:pt idx="1">
                  <c:v>成品油价格改革对渔业的补贴</c:v>
                </c:pt>
              </c:strCache>
            </c:strRef>
          </c:cat>
          <c:val>
            <c:numRef>
              <c:f>[工作簿1]Sheet1!$C$8:$C$9</c:f>
              <c:numCache>
                <c:formatCode>General</c:formatCode>
                <c:ptCount val="2"/>
                <c:pt idx="0">
                  <c:v>167.33</c:v>
                </c:pt>
                <c:pt idx="1">
                  <c:v>60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[工作簿1]Sheet1!$B$17:$B$18</c:f>
              <c:strCache>
                <c:ptCount val="2"/>
                <c:pt idx="0">
                  <c:v>基本支出</c:v>
                </c:pt>
                <c:pt idx="1">
                  <c:v>项目支出</c:v>
                </c:pt>
              </c:strCache>
            </c:strRef>
          </c:cat>
          <c:val>
            <c:numRef>
              <c:f>[工作簿1]Sheet1!$C$17:$C$18</c:f>
              <c:numCache>
                <c:formatCode>General</c:formatCode>
                <c:ptCount val="2"/>
                <c:pt idx="0">
                  <c:v>166.18</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[工作簿1]Sheet1!$B$17:$B$18</c:f>
              <c:strCache>
                <c:ptCount val="2"/>
                <c:pt idx="0">
                  <c:v>基本支出</c:v>
                </c:pt>
                <c:pt idx="1">
                  <c:v>项目支出</c:v>
                </c:pt>
              </c:strCache>
            </c:strRef>
          </c:cat>
          <c:val>
            <c:numRef>
              <c:f>[工作簿1]Sheet1!$C$17:$C$18</c:f>
              <c:numCache>
                <c:formatCode>General</c:formatCode>
                <c:ptCount val="2"/>
                <c:pt idx="0">
                  <c:v>166.18</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2021-07-30T01:45:00Z</dcterms:created>
  <dc:creator>Administrator</dc:creator>
  <cp:lastModifiedBy>藏锋</cp:lastModifiedBy>
  <dcterms:modified xsi:type="dcterms:W3CDTF">2021-08-24T02:15:12Z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EB420076E2DE4126819241A77612D1EE</vt:lpwstr>
  </property>
</Properties>
</file>